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F1A5D" w14:textId="77777777" w:rsidR="007328ED" w:rsidRDefault="009E467E">
      <w:pPr>
        <w:spacing w:after="0"/>
        <w:ind w:left="720" w:right="-265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</w:rPr>
        <w:t xml:space="preserve">                                    </w:t>
      </w:r>
      <w:r>
        <w:rPr>
          <w:rFonts w:ascii="Arial" w:eastAsia="Arial" w:hAnsi="Arial" w:cs="Arial"/>
          <w:b/>
          <w:bCs/>
        </w:rPr>
        <w:t xml:space="preserve">DÉROULÉ PÉDAGOGIQUE – </w:t>
      </w:r>
    </w:p>
    <w:p w14:paraId="4BC321B3" w14:textId="77777777" w:rsidR="007328ED" w:rsidRDefault="009E467E">
      <w:pPr>
        <w:spacing w:after="0"/>
        <w:ind w:left="720" w:right="-265"/>
        <w:rPr>
          <w:rFonts w:ascii="Arial" w:eastAsia="Arial" w:hAnsi="Arial" w:cs="Arial"/>
          <w:b/>
          <w:bCs/>
          <w:color w:val="4C94D8" w:themeColor="text2" w:themeTint="80"/>
        </w:rPr>
      </w:pPr>
      <w:r>
        <w:rPr>
          <w:rFonts w:ascii="Arial" w:eastAsia="Arial" w:hAnsi="Arial" w:cs="Arial"/>
          <w:color w:val="4C94D8" w:themeColor="text2" w:themeTint="80"/>
        </w:rPr>
        <w:t xml:space="preserve">                   </w:t>
      </w:r>
      <w:r>
        <w:rPr>
          <w:rFonts w:ascii="Arial" w:eastAsia="Arial" w:hAnsi="Arial" w:cs="Arial"/>
          <w:b/>
          <w:bCs/>
          <w:color w:val="4C94D8" w:themeColor="text2" w:themeTint="80"/>
        </w:rPr>
        <w:t>Formation : Piloter et réussir l’évaluation externe : appropriation du référentiel HAS et mise en conformité des pratiques professionnelles</w:t>
      </w:r>
    </w:p>
    <w:p w14:paraId="17F0A78C" w14:textId="77777777" w:rsidR="007328ED" w:rsidRDefault="009E467E">
      <w:pPr>
        <w:spacing w:after="0"/>
        <w:ind w:left="720" w:right="-265"/>
      </w:pPr>
      <w:r>
        <w:rPr>
          <w:rFonts w:ascii="Arial" w:eastAsia="Arial" w:hAnsi="Arial" w:cs="Arial"/>
          <w:b/>
          <w:bCs/>
        </w:rPr>
        <w:t>Durée : Groupe A – 3h00  ·  Groupe B – 2h30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  <w:b/>
          <w:bCs/>
        </w:rPr>
        <w:t>Public : directeurs, cadres, équipe qualité et professionnels de terrain d’ESSMS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  <w:b/>
          <w:bCs/>
        </w:rPr>
        <w:t>Modalité : présentiel, en deux formats adaptés (3h et 2h30)</w:t>
      </w:r>
    </w:p>
    <w:p w14:paraId="06585F55" w14:textId="77777777" w:rsidR="007328ED" w:rsidRDefault="009E467E">
      <w:pPr>
        <w:spacing w:after="0"/>
        <w:ind w:left="720" w:right="-26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pict w14:anchorId="000007D1">
          <v:rect id="_x0000_i1025" style="width:0;height:1.5pt" o:hralign="center" o:hrstd="t" o:hr="t" fillcolor="#a0a0a0" stroked="f"/>
        </w:pict>
      </w:r>
    </w:p>
    <w:p w14:paraId="074DFF92" w14:textId="77777777" w:rsidR="007328ED" w:rsidRDefault="009E467E">
      <w:pPr>
        <w:spacing w:after="0"/>
        <w:ind w:left="720" w:right="-265"/>
      </w:pPr>
      <w:r>
        <w:rPr>
          <w:rFonts w:ascii="Arial" w:eastAsia="Arial" w:hAnsi="Arial" w:cs="Arial"/>
          <w:b/>
          <w:bCs/>
          <w:color w:val="4C94D8" w:themeColor="text2" w:themeTint="80"/>
        </w:rPr>
        <w:t>1. FINALITÉ DE LA FORMATION</w:t>
      </w:r>
    </w:p>
    <w:p w14:paraId="565246A6" w14:textId="77777777" w:rsidR="007328ED" w:rsidRDefault="009E467E">
      <w:pPr>
        <w:spacing w:after="0"/>
        <w:ind w:left="720" w:right="-265"/>
      </w:pPr>
      <w:r>
        <w:rPr>
          <w:rFonts w:ascii="Arial" w:eastAsia="Arial" w:hAnsi="Arial" w:cs="Arial"/>
        </w:rPr>
        <w:t>À l’issue de la formation, les participants seront capables de :</w:t>
      </w:r>
    </w:p>
    <w:p w14:paraId="2D6D3A81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Expliquer l’architecture du référentiel HAS et resituer la logique de la réforme</w:t>
      </w:r>
    </w:p>
    <w:p w14:paraId="526A256D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Identifier les critères impératifs et leurs implications opérationnelles</w:t>
      </w:r>
    </w:p>
    <w:p w14:paraId="4D2ABA23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Décrire les méthodes de la visite d’évaluation et ce qu’elles impliquent pour chaque fonction</w:t>
      </w:r>
    </w:p>
    <w:p w14:paraId="7B33ADFF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Repérer, dans ses pratiques quotidiennes, les écarts au regard des attendus du référentiel</w:t>
      </w:r>
    </w:p>
    <w:p w14:paraId="08A71550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Formuler des actions de mise en conformité priorisées, intégrables au plan d’amélioration continue de la qualité (PACQ)</w:t>
      </w:r>
    </w:p>
    <w:p w14:paraId="0CE95357" w14:textId="77777777" w:rsidR="007328ED" w:rsidRDefault="009E467E">
      <w:pPr>
        <w:spacing w:after="0"/>
        <w:ind w:left="720" w:right="-26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pict w14:anchorId="000007D2">
          <v:rect id="_x0000_i1026" style="width:0;height:1.5pt" o:hralign="center" o:hrstd="t" o:hr="t" fillcolor="#a0a0a0" stroked="f"/>
        </w:pict>
      </w:r>
    </w:p>
    <w:p w14:paraId="6E2EE9B3" w14:textId="77777777" w:rsidR="007328ED" w:rsidRDefault="009E467E">
      <w:pPr>
        <w:spacing w:after="0"/>
        <w:ind w:left="720" w:right="-265"/>
      </w:pPr>
      <w:r>
        <w:rPr>
          <w:rFonts w:ascii="Arial" w:eastAsia="Arial" w:hAnsi="Arial" w:cs="Arial"/>
          <w:b/>
          <w:bCs/>
          <w:color w:val="4C94D8" w:themeColor="text2" w:themeTint="80"/>
        </w:rPr>
        <w:t>2. ARCHITECTURE GLOBALE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0"/>
        <w:gridCol w:w="2073"/>
        <w:gridCol w:w="2097"/>
      </w:tblGrid>
      <w:tr w:rsidR="007328ED" w14:paraId="56E6796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8C8619B" w14:textId="77777777" w:rsidR="007328ED" w:rsidRDefault="009E467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  <w:b/>
                <w:bCs/>
              </w:rPr>
              <w:t>Séquence</w:t>
            </w:r>
          </w:p>
        </w:tc>
        <w:tc>
          <w:tcPr>
            <w:tcW w:w="0" w:type="auto"/>
            <w:vAlign w:val="center"/>
            <w:hideMark/>
          </w:tcPr>
          <w:p w14:paraId="5A55283C" w14:textId="77777777" w:rsidR="007328ED" w:rsidRDefault="009E467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  <w:b/>
                <w:bCs/>
              </w:rPr>
              <w:t>Groupe A – 3h00</w:t>
            </w:r>
          </w:p>
        </w:tc>
        <w:tc>
          <w:tcPr>
            <w:tcW w:w="0" w:type="auto"/>
            <w:vAlign w:val="center"/>
            <w:hideMark/>
          </w:tcPr>
          <w:p w14:paraId="0FF57717" w14:textId="77777777" w:rsidR="007328ED" w:rsidRDefault="009E467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  <w:b/>
                <w:bCs/>
              </w:rPr>
              <w:t>Groupe B – 2h30</w:t>
            </w:r>
          </w:p>
        </w:tc>
      </w:tr>
      <w:tr w:rsidR="007328ED" w14:paraId="3E9300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CC72A1" w14:textId="77777777" w:rsidR="007328ED" w:rsidRDefault="009E467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Ouverture – cadre et objectifs</w:t>
            </w:r>
          </w:p>
        </w:tc>
        <w:tc>
          <w:tcPr>
            <w:tcW w:w="0" w:type="auto"/>
            <w:vAlign w:val="center"/>
            <w:hideMark/>
          </w:tcPr>
          <w:p w14:paraId="58568140" w14:textId="77777777" w:rsidR="007328ED" w:rsidRDefault="009E467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10 min</w:t>
            </w:r>
          </w:p>
        </w:tc>
        <w:tc>
          <w:tcPr>
            <w:tcW w:w="0" w:type="auto"/>
            <w:vAlign w:val="center"/>
            <w:hideMark/>
          </w:tcPr>
          <w:p w14:paraId="09A94A45" w14:textId="77777777" w:rsidR="007328ED" w:rsidRDefault="009E467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10 min</w:t>
            </w:r>
          </w:p>
        </w:tc>
      </w:tr>
      <w:tr w:rsidR="007328ED" w14:paraId="22B4D0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8BBF83" w14:textId="77777777" w:rsidR="007328ED" w:rsidRDefault="009E467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Module 1 – Comprendre la réforme et l’architecture du référentiel</w:t>
            </w:r>
          </w:p>
        </w:tc>
        <w:tc>
          <w:tcPr>
            <w:tcW w:w="0" w:type="auto"/>
            <w:vAlign w:val="center"/>
            <w:hideMark/>
          </w:tcPr>
          <w:p w14:paraId="143EBFB6" w14:textId="77777777" w:rsidR="007328ED" w:rsidRDefault="009E467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25 min</w:t>
            </w:r>
          </w:p>
        </w:tc>
        <w:tc>
          <w:tcPr>
            <w:tcW w:w="0" w:type="auto"/>
            <w:vAlign w:val="center"/>
            <w:hideMark/>
          </w:tcPr>
          <w:p w14:paraId="464D68A8" w14:textId="77777777" w:rsidR="007328ED" w:rsidRDefault="009E467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20 min</w:t>
            </w:r>
          </w:p>
        </w:tc>
      </w:tr>
      <w:tr w:rsidR="007328ED" w14:paraId="529A61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9F109E" w14:textId="77777777" w:rsidR="007328ED" w:rsidRDefault="009E467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Module 2 – Cotation, critères impératifs, rapport et PACQ</w:t>
            </w:r>
          </w:p>
        </w:tc>
        <w:tc>
          <w:tcPr>
            <w:tcW w:w="0" w:type="auto"/>
            <w:vAlign w:val="center"/>
            <w:hideMark/>
          </w:tcPr>
          <w:p w14:paraId="2A4D3B37" w14:textId="77777777" w:rsidR="007328ED" w:rsidRDefault="009E467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25 min</w:t>
            </w:r>
          </w:p>
        </w:tc>
        <w:tc>
          <w:tcPr>
            <w:tcW w:w="0" w:type="auto"/>
            <w:vAlign w:val="center"/>
            <w:hideMark/>
          </w:tcPr>
          <w:p w14:paraId="6FE58133" w14:textId="77777777" w:rsidR="007328ED" w:rsidRDefault="009E467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20 min</w:t>
            </w:r>
          </w:p>
        </w:tc>
      </w:tr>
      <w:tr w:rsidR="007328ED" w14:paraId="45EEB3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A16C09" w14:textId="77777777" w:rsidR="007328ED" w:rsidRDefault="009E467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Pause</w:t>
            </w:r>
          </w:p>
        </w:tc>
        <w:tc>
          <w:tcPr>
            <w:tcW w:w="0" w:type="auto"/>
            <w:vAlign w:val="center"/>
            <w:hideMark/>
          </w:tcPr>
          <w:p w14:paraId="56BA4E5D" w14:textId="77777777" w:rsidR="007328ED" w:rsidRDefault="009E467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10 min</w:t>
            </w:r>
          </w:p>
        </w:tc>
        <w:tc>
          <w:tcPr>
            <w:tcW w:w="0" w:type="auto"/>
            <w:vAlign w:val="center"/>
            <w:hideMark/>
          </w:tcPr>
          <w:p w14:paraId="445D2F5C" w14:textId="77777777" w:rsidR="007328ED" w:rsidRDefault="009E467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10 min</w:t>
            </w:r>
          </w:p>
        </w:tc>
      </w:tr>
      <w:tr w:rsidR="007328ED" w14:paraId="0D745E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6E5E89" w14:textId="77777777" w:rsidR="007328ED" w:rsidRDefault="009E467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Module 3 – La visite d’évaluation : traceurs et posture professionnelle</w:t>
            </w:r>
          </w:p>
        </w:tc>
        <w:tc>
          <w:tcPr>
            <w:tcW w:w="0" w:type="auto"/>
            <w:vAlign w:val="center"/>
            <w:hideMark/>
          </w:tcPr>
          <w:p w14:paraId="322DA44F" w14:textId="77777777" w:rsidR="007328ED" w:rsidRDefault="009E467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40 min</w:t>
            </w:r>
          </w:p>
        </w:tc>
        <w:tc>
          <w:tcPr>
            <w:tcW w:w="0" w:type="auto"/>
            <w:vAlign w:val="center"/>
            <w:hideMark/>
          </w:tcPr>
          <w:p w14:paraId="1C052BF7" w14:textId="77777777" w:rsidR="007328ED" w:rsidRDefault="009E467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30 min</w:t>
            </w:r>
          </w:p>
        </w:tc>
      </w:tr>
      <w:tr w:rsidR="007328ED" w14:paraId="0958077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4F9317" w14:textId="77777777" w:rsidR="007328ED" w:rsidRDefault="009E467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Module 4 – Autopositionnement</w:t>
            </w:r>
          </w:p>
        </w:tc>
        <w:tc>
          <w:tcPr>
            <w:tcW w:w="0" w:type="auto"/>
            <w:vAlign w:val="center"/>
            <w:hideMark/>
          </w:tcPr>
          <w:p w14:paraId="3BCA9FCA" w14:textId="77777777" w:rsidR="007328ED" w:rsidRDefault="009E467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35 min</w:t>
            </w:r>
          </w:p>
        </w:tc>
        <w:tc>
          <w:tcPr>
            <w:tcW w:w="0" w:type="auto"/>
            <w:vAlign w:val="center"/>
            <w:hideMark/>
          </w:tcPr>
          <w:p w14:paraId="6760D854" w14:textId="77777777" w:rsidR="007328ED" w:rsidRDefault="009E467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25 min</w:t>
            </w:r>
          </w:p>
        </w:tc>
      </w:tr>
      <w:tr w:rsidR="007328ED" w14:paraId="1F32C0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22A710" w14:textId="77777777" w:rsidR="007328ED" w:rsidRDefault="009E467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Module 5 – Du diagnostic au plan de mise en conformité</w:t>
            </w:r>
          </w:p>
        </w:tc>
        <w:tc>
          <w:tcPr>
            <w:tcW w:w="0" w:type="auto"/>
            <w:vAlign w:val="center"/>
            <w:hideMark/>
          </w:tcPr>
          <w:p w14:paraId="796FD3F2" w14:textId="77777777" w:rsidR="007328ED" w:rsidRDefault="009E467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25 min</w:t>
            </w:r>
          </w:p>
        </w:tc>
        <w:tc>
          <w:tcPr>
            <w:tcW w:w="0" w:type="auto"/>
            <w:vAlign w:val="center"/>
            <w:hideMark/>
          </w:tcPr>
          <w:p w14:paraId="5222E186" w14:textId="77777777" w:rsidR="007328ED" w:rsidRDefault="009E467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20 min</w:t>
            </w:r>
          </w:p>
        </w:tc>
      </w:tr>
      <w:tr w:rsidR="007328ED" w14:paraId="4C3FEA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043B4B" w14:textId="77777777" w:rsidR="007328ED" w:rsidRDefault="009E467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Clôture – synthèse et évaluations</w:t>
            </w:r>
          </w:p>
        </w:tc>
        <w:tc>
          <w:tcPr>
            <w:tcW w:w="0" w:type="auto"/>
            <w:vAlign w:val="center"/>
            <w:hideMark/>
          </w:tcPr>
          <w:p w14:paraId="32639320" w14:textId="77777777" w:rsidR="007328ED" w:rsidRDefault="009E467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10 min</w:t>
            </w:r>
          </w:p>
        </w:tc>
        <w:tc>
          <w:tcPr>
            <w:tcW w:w="0" w:type="auto"/>
            <w:vAlign w:val="center"/>
            <w:hideMark/>
          </w:tcPr>
          <w:p w14:paraId="310FF53D" w14:textId="77777777" w:rsidR="007328ED" w:rsidRDefault="009E467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15 min</w:t>
            </w:r>
          </w:p>
        </w:tc>
      </w:tr>
      <w:tr w:rsidR="007328ED" w14:paraId="166BDE2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26F734" w14:textId="77777777" w:rsidR="007328ED" w:rsidRDefault="009E467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  <w:b/>
                <w:bCs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30E65311" w14:textId="77777777" w:rsidR="007328ED" w:rsidRDefault="009E467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  <w:b/>
                <w:bCs/>
              </w:rPr>
              <w:t>180 min (3h)</w:t>
            </w:r>
          </w:p>
        </w:tc>
        <w:tc>
          <w:tcPr>
            <w:tcW w:w="0" w:type="auto"/>
            <w:vAlign w:val="center"/>
            <w:hideMark/>
          </w:tcPr>
          <w:p w14:paraId="0F0D9077" w14:textId="77777777" w:rsidR="007328ED" w:rsidRDefault="009E467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  <w:b/>
                <w:bCs/>
              </w:rPr>
              <w:t>150 min (2h30)</w:t>
            </w:r>
          </w:p>
        </w:tc>
      </w:tr>
    </w:tbl>
    <w:p w14:paraId="43373FFC" w14:textId="77777777" w:rsidR="007328ED" w:rsidRDefault="009E467E">
      <w:pPr>
        <w:spacing w:after="0"/>
        <w:ind w:left="720" w:right="-26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pict w14:anchorId="000007D3">
          <v:rect id="_x0000_i1027" style="width:0;height:1.5pt" o:hralign="center" o:hrstd="t" o:hr="t" fillcolor="#a0a0a0" stroked="f"/>
        </w:pict>
      </w:r>
    </w:p>
    <w:p w14:paraId="399E8602" w14:textId="77777777" w:rsidR="007328ED" w:rsidRDefault="009E467E">
      <w:pPr>
        <w:spacing w:after="0"/>
        <w:ind w:left="720" w:right="-265"/>
      </w:pPr>
      <w:r>
        <w:rPr>
          <w:rFonts w:ascii="Arial" w:eastAsia="Arial" w:hAnsi="Arial" w:cs="Arial"/>
          <w:b/>
          <w:bCs/>
          <w:color w:val="4C94D8" w:themeColor="text2" w:themeTint="80"/>
        </w:rPr>
        <w:t>3. DÉROULÉ PÉDAGOGIQUE DÉTAILLÉ</w:t>
      </w:r>
    </w:p>
    <w:p w14:paraId="1187BDF1" w14:textId="77777777" w:rsidR="007328ED" w:rsidRDefault="009E467E">
      <w:pPr>
        <w:spacing w:after="0"/>
        <w:ind w:left="720" w:right="-26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pict w14:anchorId="000007D4">
          <v:rect id="_x0000_i1028" style="width:0;height:1.5pt" o:hralign="center" o:hrstd="t" o:hr="t" fillcolor="#a0a0a0" stroked="f"/>
        </w:pict>
      </w:r>
    </w:p>
    <w:p w14:paraId="1F8E7768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🟦</w:t>
      </w:r>
      <w:r>
        <w:rPr>
          <w:rFonts w:ascii="Arial" w:eastAsia="Arial" w:hAnsi="Arial" w:cs="Arial"/>
          <w:b/>
          <w:bCs/>
        </w:rPr>
        <w:t xml:space="preserve"> OUVERTURE – CADRE ET OBJECTIFS (10 min, groupes A et B)</w:t>
      </w:r>
    </w:p>
    <w:p w14:paraId="378794BE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🎯</w:t>
      </w:r>
      <w:r>
        <w:rPr>
          <w:rFonts w:ascii="Arial" w:eastAsia="Arial" w:hAnsi="Arial" w:cs="Arial"/>
          <w:b/>
          <w:bCs/>
        </w:rPr>
        <w:t xml:space="preserve"> Objectifs</w:t>
      </w:r>
    </w:p>
    <w:p w14:paraId="67620D32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Poser le cadre et les objectifs de la session</w:t>
      </w:r>
    </w:p>
    <w:p w14:paraId="37A11EA4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Recueillir les attentes des participants</w:t>
      </w:r>
    </w:p>
    <w:p w14:paraId="3B214D80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Resituer les enjeux de la réforme de l’évaluation externe pour l’ESSMS</w:t>
      </w:r>
    </w:p>
    <w:p w14:paraId="07A6EBC3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🧩</w:t>
      </w:r>
      <w:r>
        <w:rPr>
          <w:rFonts w:ascii="Arial" w:eastAsia="Arial" w:hAnsi="Arial" w:cs="Arial"/>
          <w:b/>
          <w:bCs/>
        </w:rPr>
        <w:t xml:space="preserve"> Déroulé</w:t>
      </w:r>
    </w:p>
    <w:p w14:paraId="29AF5D86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Tour de table rapide : fonction, structure, attentes</w:t>
      </w:r>
    </w:p>
    <w:p w14:paraId="47A3B4AC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Présentation des objectifs pédagogiques et du déroulé de la session</w:t>
      </w:r>
    </w:p>
    <w:p w14:paraId="6E56FFE6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lastRenderedPageBreak/>
        <w:t>Rappel du contexte : réforme HAS 2022, un référentiel unique pour tous les ESSMS</w:t>
      </w:r>
    </w:p>
    <w:p w14:paraId="1AA41D75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🛠</w:t>
      </w:r>
      <w:r>
        <w:rPr>
          <w:rFonts w:ascii="Arial" w:eastAsia="Arial" w:hAnsi="Arial" w:cs="Arial"/>
          <w:b/>
          <w:bCs/>
        </w:rPr>
        <w:t xml:space="preserve"> Méthode</w:t>
      </w:r>
    </w:p>
    <w:p w14:paraId="250AD192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Exposé interactif</w:t>
      </w:r>
    </w:p>
    <w:p w14:paraId="2B168D21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Tour de table guidé</w:t>
      </w:r>
    </w:p>
    <w:p w14:paraId="1B310295" w14:textId="77777777" w:rsidR="007328ED" w:rsidRDefault="009E467E">
      <w:pPr>
        <w:spacing w:after="0"/>
        <w:ind w:left="720" w:right="-26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pict w14:anchorId="000007D5">
          <v:rect id="_x0000_i1029" style="width:0;height:1.5pt" o:hralign="center" o:hrstd="t" o:hr="t" fillcolor="#a0a0a0" stroked="f"/>
        </w:pict>
      </w:r>
    </w:p>
    <w:p w14:paraId="423CCE91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🟦</w:t>
      </w:r>
      <w:r>
        <w:rPr>
          <w:rFonts w:ascii="Arial" w:eastAsia="Arial" w:hAnsi="Arial" w:cs="Arial"/>
          <w:b/>
          <w:bCs/>
        </w:rPr>
        <w:t xml:space="preserve"> MODULE 1 – Comprendre la réforme et l’architecture du référentiel (25 min / 20 min)</w:t>
      </w:r>
    </w:p>
    <w:p w14:paraId="31CD729C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🎯</w:t>
      </w:r>
      <w:r>
        <w:rPr>
          <w:rFonts w:ascii="Arial" w:eastAsia="Arial" w:hAnsi="Arial" w:cs="Arial"/>
          <w:b/>
          <w:bCs/>
        </w:rPr>
        <w:t xml:space="preserve"> Objectifs</w:t>
      </w:r>
    </w:p>
    <w:p w14:paraId="31B28DA9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Expliquer l’architecture du référentiel HAS</w:t>
      </w:r>
    </w:p>
    <w:p w14:paraId="29F14EB5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Resituer la logique de la réforme de 2022</w:t>
      </w:r>
    </w:p>
    <w:p w14:paraId="29654614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🧩</w:t>
      </w:r>
      <w:r>
        <w:rPr>
          <w:rFonts w:ascii="Arial" w:eastAsia="Arial" w:hAnsi="Arial" w:cs="Arial"/>
          <w:b/>
          <w:bCs/>
        </w:rPr>
        <w:t xml:space="preserve"> Séquence 1 – D’une pluralité de référentiels à un cadre commun (10 min / 8 min)</w:t>
      </w:r>
    </w:p>
    <w:p w14:paraId="2D3E3C51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Avant 2022 : référentiels différents selon le secteur, évaluation interne et externe séparées, périodicités distinctes (5 ans / 7 ans)</w:t>
      </w:r>
    </w:p>
    <w:p w14:paraId="479CBB1A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Depuis 2022 : référentiel national unique, HAS seule autorité, méthode harmonisée portée par des organismes accrédités Cofrac</w:t>
      </w:r>
    </w:p>
    <w:p w14:paraId="62C2BFD1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</w:rPr>
        <w:t>📌</w:t>
      </w:r>
      <w:r>
        <w:rPr>
          <w:rFonts w:ascii="Arial" w:eastAsia="Arial" w:hAnsi="Arial" w:cs="Arial"/>
        </w:rPr>
        <w:t xml:space="preserve"> Appui support : slide « Repères réglementaires » (loi du 2 janvier 2002, réforme 2022, Cofrac, périodicité)</w:t>
      </w:r>
    </w:p>
    <w:p w14:paraId="644599ED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🧩</w:t>
      </w:r>
      <w:r>
        <w:rPr>
          <w:rFonts w:ascii="Arial" w:eastAsia="Arial" w:hAnsi="Arial" w:cs="Arial"/>
          <w:b/>
          <w:bCs/>
        </w:rPr>
        <w:t xml:space="preserve"> Séquence 2 – L’architecture en un coup d’œil (10 min / 7 min)</w:t>
      </w:r>
    </w:p>
    <w:p w14:paraId="5D2F139B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3 chapitres, 9 thématiques, 42 objectifs de qualité, 157 critères</w:t>
      </w:r>
    </w:p>
    <w:p w14:paraId="720FFA78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Emboîtement chapitre → thématique → objectif de qualité → critère</w:t>
      </w:r>
    </w:p>
    <w:p w14:paraId="6A08D3A3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129 critères génériques (communs à tous les ESSMS), 28 critères spécifiques (selon secteur et public accompagné)</w:t>
      </w:r>
    </w:p>
    <w:p w14:paraId="6FAC12C4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</w:rPr>
        <w:t>➡</w:t>
      </w:r>
      <w:r>
        <w:rPr>
          <w:rFonts w:ascii="Segoe UI Emoji" w:eastAsia="Arial" w:hAnsi="Segoe UI Emoji" w:cs="Segoe UI Emoji"/>
        </w:rPr>
        <w:t>️</w:t>
      </w:r>
      <w:r>
        <w:rPr>
          <w:rFonts w:ascii="Arial" w:eastAsia="Arial" w:hAnsi="Arial" w:cs="Arial"/>
        </w:rPr>
        <w:t xml:space="preserve"> Quiz d’ancrage flash : 5 affirmations vrai/faux, réponse à main levée, correction immédiate</w:t>
      </w:r>
    </w:p>
    <w:p w14:paraId="3758E164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🧩</w:t>
      </w:r>
      <w:r>
        <w:rPr>
          <w:rFonts w:ascii="Arial" w:eastAsia="Arial" w:hAnsi="Arial" w:cs="Arial"/>
          <w:b/>
          <w:bCs/>
        </w:rPr>
        <w:t xml:space="preserve"> Séquence 3 – Les 3 chapitres du référentiel (5 min / 5 min)</w:t>
      </w:r>
    </w:p>
    <w:p w14:paraId="67CB7A4A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Chapitre 1 – La personne accompagnée : 7 des 9 thématiques (bientraitance, droits, expression, projet personnalisé, autonomie, santé, continuité des parcours)</w:t>
      </w:r>
    </w:p>
    <w:p w14:paraId="041F553C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Chapitres 2 et 3 – Les professionnels (RH, QVCT, prévention) et l’ESSMS (gouvernance, gestion des risques, continuité d’activité)</w:t>
      </w:r>
    </w:p>
    <w:p w14:paraId="411584F0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🛠</w:t>
      </w:r>
      <w:r>
        <w:rPr>
          <w:rFonts w:ascii="Arial" w:eastAsia="Arial" w:hAnsi="Arial" w:cs="Arial"/>
          <w:b/>
          <w:bCs/>
        </w:rPr>
        <w:t xml:space="preserve"> Méthode</w:t>
      </w:r>
    </w:p>
    <w:p w14:paraId="7199B01E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Apport théorique</w:t>
      </w:r>
    </w:p>
    <w:p w14:paraId="3006734C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Quiz d’ancrage</w:t>
      </w:r>
    </w:p>
    <w:p w14:paraId="028202F4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Support visuel projeté</w:t>
      </w:r>
    </w:p>
    <w:p w14:paraId="50B80409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</w:rPr>
        <w:t>📌</w:t>
      </w:r>
      <w:r>
        <w:rPr>
          <w:rFonts w:ascii="Arial" w:eastAsia="Arial" w:hAnsi="Arial" w:cs="Arial"/>
        </w:rPr>
        <w:t xml:space="preserve"> Évaluation module 1 : correction immédiate et collective du quiz d’ancrage</w:t>
      </w:r>
    </w:p>
    <w:p w14:paraId="3E7FAC5B" w14:textId="77777777" w:rsidR="007328ED" w:rsidRDefault="009E467E">
      <w:pPr>
        <w:spacing w:after="0"/>
        <w:ind w:left="720" w:right="-26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pict w14:anchorId="000007D6">
          <v:rect id="_x0000_i1030" style="width:0;height:1.5pt" o:hralign="center" o:hrstd="t" o:hr="t" fillcolor="#a0a0a0" stroked="f"/>
        </w:pict>
      </w:r>
    </w:p>
    <w:p w14:paraId="4303FCCB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🟦</w:t>
      </w:r>
      <w:r>
        <w:rPr>
          <w:rFonts w:ascii="Arial" w:eastAsia="Arial" w:hAnsi="Arial" w:cs="Arial"/>
          <w:b/>
          <w:bCs/>
        </w:rPr>
        <w:t xml:space="preserve"> MODULE 2 – Cotation, critères impératifs, rapport et PACQ (25 min / 20 min)</w:t>
      </w:r>
    </w:p>
    <w:p w14:paraId="0B05DA81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🎯</w:t>
      </w:r>
      <w:r>
        <w:rPr>
          <w:rFonts w:ascii="Arial" w:eastAsia="Arial" w:hAnsi="Arial" w:cs="Arial"/>
          <w:b/>
          <w:bCs/>
        </w:rPr>
        <w:t xml:space="preserve"> Objectifs</w:t>
      </w:r>
    </w:p>
    <w:p w14:paraId="7A9C49C5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Savoir lire une cotation</w:t>
      </w:r>
    </w:p>
    <w:p w14:paraId="58C712A3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Identifier les exigences prioritaires du référentiel</w:t>
      </w:r>
    </w:p>
    <w:p w14:paraId="6822CBA8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🧩</w:t>
      </w:r>
      <w:r>
        <w:rPr>
          <w:rFonts w:ascii="Arial" w:eastAsia="Arial" w:hAnsi="Arial" w:cs="Arial"/>
          <w:b/>
          <w:bCs/>
        </w:rPr>
        <w:t xml:space="preserve"> Séquence 1 – L’échelle de cotation des critères (10 min / 8 min)</w:t>
      </w:r>
    </w:p>
    <w:p w14:paraId="19EBE112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Niveaux 1 (pas satisfaisant) à 4 (tout à fait satisfaisant), ★ optimisé, NC non concerné</w:t>
      </w:r>
    </w:p>
    <w:p w14:paraId="09263EBE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Agrégation par objectif de qualité en 4 classes : A (avancé), B (structuré), C (partiel), D (insuffisant)</w:t>
      </w:r>
    </w:p>
    <w:p w14:paraId="1B41B247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🧩</w:t>
      </w:r>
      <w:r>
        <w:rPr>
          <w:rFonts w:ascii="Arial" w:eastAsia="Arial" w:hAnsi="Arial" w:cs="Arial"/>
          <w:b/>
          <w:bCs/>
        </w:rPr>
        <w:t xml:space="preserve"> Séquence 2 – Les 18 critères impératifs (10 min / 7 min)</w:t>
      </w:r>
    </w:p>
    <w:p w14:paraId="42610A8F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Jamais cotés « NC » : toujours évalués</w:t>
      </w:r>
    </w:p>
    <w:p w14:paraId="1FDEF5B4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Plan d’action correctif obligatoire si la cotation n’est pas maximale</w:t>
      </w:r>
    </w:p>
    <w:p w14:paraId="4784C77E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Exemples : libertés et droits fondamentaux, confidentialité des données, sécurité du circuit du médicament, prévention de la maltraitance, traitement des plaintes, gestion de crise</w:t>
      </w:r>
    </w:p>
    <w:p w14:paraId="4BE60317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</w:rPr>
        <w:t>➡</w:t>
      </w:r>
      <w:r>
        <w:rPr>
          <w:rFonts w:ascii="Segoe UI Emoji" w:eastAsia="Arial" w:hAnsi="Segoe UI Emoji" w:cs="Segoe UI Emoji"/>
        </w:rPr>
        <w:t>️</w:t>
      </w:r>
      <w:r>
        <w:rPr>
          <w:rFonts w:ascii="Arial" w:eastAsia="Arial" w:hAnsi="Arial" w:cs="Arial"/>
        </w:rPr>
        <w:t xml:space="preserve"> Étude de cas courte : lecture et interprétation d’une cotation en binôme</w:t>
      </w:r>
    </w:p>
    <w:p w14:paraId="52116CC9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🧩</w:t>
      </w:r>
      <w:r>
        <w:rPr>
          <w:rFonts w:ascii="Arial" w:eastAsia="Arial" w:hAnsi="Arial" w:cs="Arial"/>
          <w:b/>
          <w:bCs/>
        </w:rPr>
        <w:t xml:space="preserve"> Séquence 3 – Du rapport unique au plan d’amélioration continue (5 min / 5 min)</w:t>
      </w:r>
    </w:p>
    <w:p w14:paraId="01873649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Un rapport d’évaluation unique, harmonisé et publié, socle de dialogue avec l’ARS et le conseil départemental</w:t>
      </w:r>
    </w:p>
    <w:p w14:paraId="3B3A4B23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Le PACQ : un outil vivant, suivi et mis à jour, pas un document produit une fois</w:t>
      </w:r>
    </w:p>
    <w:p w14:paraId="46615588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🛠</w:t>
      </w:r>
      <w:r>
        <w:rPr>
          <w:rFonts w:ascii="Arial" w:eastAsia="Arial" w:hAnsi="Arial" w:cs="Arial"/>
          <w:b/>
          <w:bCs/>
        </w:rPr>
        <w:t xml:space="preserve"> Méthode</w:t>
      </w:r>
    </w:p>
    <w:p w14:paraId="1F1B2337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Apport théorique</w:t>
      </w:r>
    </w:p>
    <w:p w14:paraId="6F22C287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Étude de cas</w:t>
      </w:r>
    </w:p>
    <w:p w14:paraId="238DB52C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Échanges en binôme</w:t>
      </w:r>
    </w:p>
    <w:p w14:paraId="0E6C23D7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</w:rPr>
        <w:t>📌</w:t>
      </w:r>
      <w:r>
        <w:rPr>
          <w:rFonts w:ascii="Arial" w:eastAsia="Arial" w:hAnsi="Arial" w:cs="Arial"/>
        </w:rPr>
        <w:t xml:space="preserve"> Évaluation module 2 : restitution orale sur un exemple de critère impératif</w:t>
      </w:r>
    </w:p>
    <w:p w14:paraId="65A7B430" w14:textId="77777777" w:rsidR="007328ED" w:rsidRDefault="009E467E">
      <w:pPr>
        <w:spacing w:after="0"/>
        <w:ind w:left="720" w:right="-26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pict w14:anchorId="000007D7">
          <v:rect id="_x0000_i1031" style="width:0;height:1.5pt" o:hralign="center" o:hrstd="t" o:hr="t" fillcolor="#a0a0a0" stroked="f"/>
        </w:pict>
      </w:r>
    </w:p>
    <w:p w14:paraId="6DB88168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🟦</w:t>
      </w:r>
      <w:r>
        <w:rPr>
          <w:rFonts w:ascii="Arial" w:eastAsia="Arial" w:hAnsi="Arial" w:cs="Arial"/>
          <w:b/>
          <w:bCs/>
        </w:rPr>
        <w:t xml:space="preserve"> PAUSE (10 min – identique pour les deux groupes)</w:t>
      </w:r>
    </w:p>
    <w:p w14:paraId="5A49692B" w14:textId="77777777" w:rsidR="007328ED" w:rsidRDefault="009E467E">
      <w:pPr>
        <w:spacing w:after="0"/>
        <w:ind w:left="720" w:right="-26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pict w14:anchorId="000007D8">
          <v:rect id="_x0000_i1032" style="width:0;height:1.5pt" o:hralign="center" o:hrstd="t" o:hr="t" fillcolor="#a0a0a0" stroked="f"/>
        </w:pict>
      </w:r>
    </w:p>
    <w:p w14:paraId="4D547029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🟦</w:t>
      </w:r>
      <w:r>
        <w:rPr>
          <w:rFonts w:ascii="Arial" w:eastAsia="Arial" w:hAnsi="Arial" w:cs="Arial"/>
          <w:b/>
          <w:bCs/>
        </w:rPr>
        <w:t xml:space="preserve"> MODULE 3 – La visite d’évaluation : traceurs et posture professionnelle (40 min / 30 min)</w:t>
      </w:r>
    </w:p>
    <w:p w14:paraId="3B5FB10F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🎯</w:t>
      </w:r>
      <w:r>
        <w:rPr>
          <w:rFonts w:ascii="Arial" w:eastAsia="Arial" w:hAnsi="Arial" w:cs="Arial"/>
          <w:b/>
          <w:bCs/>
        </w:rPr>
        <w:t xml:space="preserve"> Objectifs</w:t>
      </w:r>
    </w:p>
    <w:p w14:paraId="61184FF5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Décrire les méthodes de la visite</w:t>
      </w:r>
    </w:p>
    <w:p w14:paraId="7CC05D17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Identifier la posture attendue de chaque fonction</w:t>
      </w:r>
    </w:p>
    <w:p w14:paraId="7AC03B8E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🧩</w:t>
      </w:r>
      <w:r>
        <w:rPr>
          <w:rFonts w:ascii="Arial" w:eastAsia="Arial" w:hAnsi="Arial" w:cs="Arial"/>
          <w:b/>
          <w:bCs/>
        </w:rPr>
        <w:t xml:space="preserve"> Séquence 1 – Trois méthodes complémentaires (10 min / 8 min)</w:t>
      </w:r>
    </w:p>
    <w:p w14:paraId="3BB9AEB2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Accompagnement traceur : suit le parcours d’une personne accompagnée (entretiens, observation, dossier)</w:t>
      </w:r>
    </w:p>
    <w:p w14:paraId="5D6FC318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Traceur ciblé : vérifie la mise en œuvre concrète d’une bonne pratique par les professionnels de terrain (7 par visite)</w:t>
      </w:r>
    </w:p>
    <w:p w14:paraId="239C6728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Audit système : évalue l’organisation, la stratégie et la gouvernance de l’ESSMS (8 par visite)</w:t>
      </w:r>
    </w:p>
    <w:p w14:paraId="422E318A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🧩</w:t>
      </w:r>
      <w:r>
        <w:rPr>
          <w:rFonts w:ascii="Arial" w:eastAsia="Arial" w:hAnsi="Arial" w:cs="Arial"/>
          <w:b/>
          <w:bCs/>
        </w:rPr>
        <w:t xml:space="preserve"> Séquence 2 – Qui est concerné, et comment (10 min / 7 min)</w:t>
      </w:r>
    </w:p>
    <w:p w14:paraId="012F43F8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Professionnel de terrain : gestes, posture, connaissance des procédures et des droits, traçabilité au quotidien</w:t>
      </w:r>
    </w:p>
    <w:p w14:paraId="0D4F237D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Cadre / chef de service : organisation de l’équipe, pilotage des pratiques, remontée des événements indésirables</w:t>
      </w:r>
    </w:p>
    <w:p w14:paraId="30113433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Équipe qualité : indicateurs, gestion des risques, suivi du PACQ, traçabilité documentaire</w:t>
      </w:r>
    </w:p>
    <w:p w14:paraId="1F0C59F0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Direction : stratégie, gouvernance, allocation des moyens, résultats de la démarche qualité</w:t>
      </w:r>
    </w:p>
    <w:p w14:paraId="37E3205F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🧩</w:t>
      </w:r>
      <w:r>
        <w:rPr>
          <w:rFonts w:ascii="Arial" w:eastAsia="Arial" w:hAnsi="Arial" w:cs="Arial"/>
          <w:b/>
          <w:bCs/>
        </w:rPr>
        <w:t xml:space="preserve"> Séquence 3 – Ce que l’évaluateur observe concrètement (5 min / 5 min)</w:t>
      </w:r>
    </w:p>
    <w:p w14:paraId="1F5DA5FB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La cohérence entre ce qui est écrit et ce qui est réellement fait au quotidien</w:t>
      </w:r>
    </w:p>
    <w:p w14:paraId="66B558A9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La connaissance par les professionnels des droits fondamentaux et des conduites à tenir</w:t>
      </w:r>
    </w:p>
    <w:p w14:paraId="56173A5D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La capacité à expliquer une pratique avec ses propres mots, sans réciter un document</w:t>
      </w:r>
    </w:p>
    <w:p w14:paraId="5426DBFF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La traçabilité des actions dans le dossier de la personne accompagnée</w:t>
      </w:r>
    </w:p>
    <w:p w14:paraId="71D2BA26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🛠</w:t>
      </w:r>
      <w:r>
        <w:rPr>
          <w:rFonts w:ascii="Arial" w:eastAsia="Arial" w:hAnsi="Arial" w:cs="Arial"/>
          <w:b/>
          <w:bCs/>
        </w:rPr>
        <w:t xml:space="preserve"> Méthode</w:t>
      </w:r>
    </w:p>
    <w:p w14:paraId="3C3C2EF4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Apport théorique</w:t>
      </w:r>
    </w:p>
    <w:p w14:paraId="6BE216E3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Tableau fonctions / observations</w:t>
      </w:r>
    </w:p>
    <w:p w14:paraId="5B94F0E8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Mise en situation</w:t>
      </w:r>
    </w:p>
    <w:p w14:paraId="7BEAEA97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Débriefing collectif</w:t>
      </w:r>
    </w:p>
    <w:p w14:paraId="7E369BC9" w14:textId="77777777" w:rsidR="007328ED" w:rsidRDefault="009E467E">
      <w:pPr>
        <w:spacing w:after="0"/>
        <w:ind w:left="720" w:right="-26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pict w14:anchorId="000007D9">
          <v:rect id="_x0000_i1033" style="width:0;height:1.5pt" o:hralign="center" o:hrstd="t" o:hr="t" fillcolor="#a0a0a0" stroked="f"/>
        </w:pict>
      </w:r>
    </w:p>
    <w:p w14:paraId="100374D2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➡</w:t>
      </w:r>
      <w:r>
        <w:rPr>
          <w:rFonts w:ascii="Segoe UI Emoji" w:eastAsia="Arial" w:hAnsi="Segoe UI Emoji" w:cs="Segoe UI Emoji"/>
          <w:b/>
          <w:bCs/>
        </w:rPr>
        <w:t>️</w:t>
      </w:r>
      <w:r>
        <w:rPr>
          <w:rFonts w:ascii="Arial" w:eastAsia="Arial" w:hAnsi="Arial" w:cs="Arial"/>
          <w:b/>
          <w:bCs/>
        </w:rPr>
        <w:t xml:space="preserve"> MISE EN SITUATION – Simuler un entretien traceur (25 min, 2 tours – groupe A / 15 min, 1 tour – groupe B)</w:t>
      </w:r>
    </w:p>
    <w:p w14:paraId="6FA54712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Constitution des binômes : un rôle « évaluateur », un ou deux rôles « professionnel(s) »</w:t>
      </w:r>
    </w:p>
    <w:p w14:paraId="32A472E1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Chaque binôme reçoit une fiche situation sur une thématique du référentiel (ex. accompagnement à la santé, gestion des plaintes)</w:t>
      </w:r>
    </w:p>
    <w:p w14:paraId="69D7E698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Conduite d’un mini-entretien traceur de 5 minutes, puis échange des rôles si le temps le permet</w:t>
      </w:r>
    </w:p>
    <w:p w14:paraId="1AB652A7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Débriefing en binôme puis mise en commun collective : ce qui a bien fonctionné, ce qui a été difficile, les réflexes à ancrer</w:t>
      </w:r>
    </w:p>
    <w:p w14:paraId="5F8D86B1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</w:rPr>
        <w:t>📌</w:t>
      </w:r>
      <w:r>
        <w:rPr>
          <w:rFonts w:ascii="Arial" w:eastAsia="Arial" w:hAnsi="Arial" w:cs="Arial"/>
        </w:rPr>
        <w:t xml:space="preserve"> Évaluation module 3 : débriefing collectif de la mise en situation – activité phare de la formation</w:t>
      </w:r>
    </w:p>
    <w:p w14:paraId="53750CB7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</w:rPr>
        <w:t>📌</w:t>
      </w:r>
      <w:r>
        <w:rPr>
          <w:rFonts w:ascii="Arial" w:eastAsia="Arial" w:hAnsi="Arial" w:cs="Arial"/>
        </w:rPr>
        <w:t xml:space="preserve"> Livrable associé : fiches situation pour la mise en situation « entretien traceur »</w:t>
      </w:r>
    </w:p>
    <w:p w14:paraId="4C75AF35" w14:textId="77777777" w:rsidR="007328ED" w:rsidRDefault="009E467E">
      <w:pPr>
        <w:spacing w:after="0"/>
        <w:ind w:left="720" w:right="-26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pict w14:anchorId="000007DA">
          <v:rect id="_x0000_i1034" style="width:0;height:1.5pt" o:hralign="center" o:hrstd="t" o:hr="t" fillcolor="#a0a0a0" stroked="f"/>
        </w:pict>
      </w:r>
    </w:p>
    <w:p w14:paraId="59CF5F37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🟦</w:t>
      </w:r>
      <w:r>
        <w:rPr>
          <w:rFonts w:ascii="Arial" w:eastAsia="Arial" w:hAnsi="Arial" w:cs="Arial"/>
          <w:b/>
          <w:bCs/>
        </w:rPr>
        <w:t xml:space="preserve"> MODULE 4 – Autopositionnement : où en sommes-nous, concrètement ? (35 min / 25 min)</w:t>
      </w:r>
    </w:p>
    <w:p w14:paraId="0384AE74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🎯</w:t>
      </w:r>
      <w:r>
        <w:rPr>
          <w:rFonts w:ascii="Arial" w:eastAsia="Arial" w:hAnsi="Arial" w:cs="Arial"/>
          <w:b/>
          <w:bCs/>
        </w:rPr>
        <w:t xml:space="preserve"> Objectifs</w:t>
      </w:r>
    </w:p>
    <w:p w14:paraId="14255A15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Repérer, dans ses pratiques, les écarts au regard des attendus du référentiel</w:t>
      </w:r>
    </w:p>
    <w:p w14:paraId="77FD851B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🧩</w:t>
      </w:r>
      <w:r>
        <w:rPr>
          <w:rFonts w:ascii="Arial" w:eastAsia="Arial" w:hAnsi="Arial" w:cs="Arial"/>
          <w:b/>
          <w:bCs/>
        </w:rPr>
        <w:t xml:space="preserve"> Séquence 1 – La grille d’autopositionnement, mode d’emploi (5 min / 5 min)</w:t>
      </w:r>
    </w:p>
    <w:p w14:paraId="53E866D3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Organisation par thématique, à l’image de la grille de cotation officielle</w:t>
      </w:r>
    </w:p>
    <w:p w14:paraId="15BD9CF9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Auto-cotation de 1 à 4 en équipe, avec justification</w:t>
      </w:r>
    </w:p>
    <w:p w14:paraId="263BBAA6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Une colonne dédiée aux preuves disponibles et aux preuves manquantes à sécuriser</w:t>
      </w:r>
    </w:p>
    <w:p w14:paraId="5C744300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Un outil réutilisable, remis à chaque participant</w:t>
      </w:r>
    </w:p>
    <w:p w14:paraId="733B48E3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🛠</w:t>
      </w:r>
      <w:r>
        <w:rPr>
          <w:rFonts w:ascii="Arial" w:eastAsia="Arial" w:hAnsi="Arial" w:cs="Arial"/>
          <w:b/>
          <w:bCs/>
        </w:rPr>
        <w:t xml:space="preserve"> Méthode</w:t>
      </w:r>
    </w:p>
    <w:p w14:paraId="44683044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Travail en sous-groupes</w:t>
      </w:r>
    </w:p>
    <w:p w14:paraId="6C1067A8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Restitution collective</w:t>
      </w:r>
    </w:p>
    <w:p w14:paraId="4C6598C2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Reformulation par la formatrice</w:t>
      </w:r>
    </w:p>
    <w:p w14:paraId="70A226B6" w14:textId="77777777" w:rsidR="007328ED" w:rsidRDefault="009E467E">
      <w:pPr>
        <w:spacing w:after="0"/>
        <w:ind w:left="720" w:right="-26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pict w14:anchorId="000007DB">
          <v:rect id="_x0000_i1035" style="width:0;height:1.5pt" o:hralign="center" o:hrstd="t" o:hr="t" fillcolor="#a0a0a0" stroked="f"/>
        </w:pict>
      </w:r>
    </w:p>
    <w:p w14:paraId="17B404F6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➡</w:t>
      </w:r>
      <w:r>
        <w:rPr>
          <w:rFonts w:ascii="Segoe UI Emoji" w:eastAsia="Arial" w:hAnsi="Segoe UI Emoji" w:cs="Segoe UI Emoji"/>
          <w:b/>
          <w:bCs/>
        </w:rPr>
        <w:t>️</w:t>
      </w:r>
      <w:r>
        <w:rPr>
          <w:rFonts w:ascii="Arial" w:eastAsia="Arial" w:hAnsi="Arial" w:cs="Arial"/>
          <w:b/>
          <w:bCs/>
        </w:rPr>
        <w:t xml:space="preserve"> TRAVAIL EN SOUS-GROUPES – Se positionner sur son propre service (20 min – groupe A / 15 min – groupe B)</w:t>
      </w:r>
    </w:p>
    <w:p w14:paraId="702F1A1F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Constitution de sous-groupes mixtes (terrain, encadrement, qualité si possible)</w:t>
      </w:r>
    </w:p>
    <w:p w14:paraId="5A09FF69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Choix de 2 à 3 thématiques prioritaires, dont au moins une comportant un critère impératif</w:t>
      </w:r>
    </w:p>
    <w:p w14:paraId="4C984B91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Pour chaque thématique : 1 point fort à valoriser, 1 point de vigilance, 1 preuve à sécuriser</w:t>
      </w:r>
    </w:p>
    <w:p w14:paraId="0997CD26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🧩</w:t>
      </w:r>
      <w:r>
        <w:rPr>
          <w:rFonts w:ascii="Arial" w:eastAsia="Arial" w:hAnsi="Arial" w:cs="Arial"/>
          <w:b/>
          <w:bCs/>
        </w:rPr>
        <w:t xml:space="preserve"> Séquence 2 – Restitution des sous-groupes (10 min / 5 min)</w:t>
      </w:r>
    </w:p>
    <w:p w14:paraId="1FA5EB9F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Deux minutes par sous-groupe : un point fort, un point de vigilance, une preuve à sécuriser</w:t>
      </w:r>
    </w:p>
    <w:p w14:paraId="3B4CEACF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Reformulation par la formatrice, qui relie chaque restitution à un chapitre ou une thématique du référentiel</w:t>
      </w:r>
    </w:p>
    <w:p w14:paraId="10D8DBF2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Les points de vigilance communs à plusieurs sous-groupes annoncent souvent les priorités collectives de l’établissement</w:t>
      </w:r>
    </w:p>
    <w:p w14:paraId="6A7A9719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</w:rPr>
        <w:t>📌</w:t>
      </w:r>
      <w:r>
        <w:rPr>
          <w:rFonts w:ascii="Arial" w:eastAsia="Arial" w:hAnsi="Arial" w:cs="Arial"/>
        </w:rPr>
        <w:t xml:space="preserve"> Livrable associé : grille d’autopositionnement par thématique</w:t>
      </w:r>
    </w:p>
    <w:p w14:paraId="7C037F28" w14:textId="77777777" w:rsidR="007328ED" w:rsidRDefault="009E467E">
      <w:pPr>
        <w:spacing w:after="0"/>
        <w:ind w:left="720" w:right="-26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pict w14:anchorId="000007DC">
          <v:rect id="_x0000_i1036" style="width:0;height:1.5pt" o:hralign="center" o:hrstd="t" o:hr="t" fillcolor="#a0a0a0" stroked="f"/>
        </w:pict>
      </w:r>
    </w:p>
    <w:p w14:paraId="2D322302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🟦</w:t>
      </w:r>
      <w:r>
        <w:rPr>
          <w:rFonts w:ascii="Arial" w:eastAsia="Arial" w:hAnsi="Arial" w:cs="Arial"/>
          <w:b/>
          <w:bCs/>
        </w:rPr>
        <w:t xml:space="preserve"> MODULE 5 – Du diagnostic au plan de mise en conformité (25 min / 20 min)</w:t>
      </w:r>
    </w:p>
    <w:p w14:paraId="7775D8C4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🎯</w:t>
      </w:r>
      <w:r>
        <w:rPr>
          <w:rFonts w:ascii="Arial" w:eastAsia="Arial" w:hAnsi="Arial" w:cs="Arial"/>
          <w:b/>
          <w:bCs/>
        </w:rPr>
        <w:t xml:space="preserve"> Objectifs</w:t>
      </w:r>
    </w:p>
    <w:p w14:paraId="7F09DD9F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Formuler des actions de mise en conformité priorisées et engageables</w:t>
      </w:r>
    </w:p>
    <w:p w14:paraId="388817DF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🧩</w:t>
      </w:r>
      <w:r>
        <w:rPr>
          <w:rFonts w:ascii="Arial" w:eastAsia="Arial" w:hAnsi="Arial" w:cs="Arial"/>
          <w:b/>
          <w:bCs/>
        </w:rPr>
        <w:t xml:space="preserve"> Séquence 1 – Prioriser ses actions : la matrice impact / urgence (10 min / 8 min)</w:t>
      </w:r>
    </w:p>
    <w:p w14:paraId="58088A45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Urgence élevée + impact élevé : traiter en premier – critères impératifs non atteints</w:t>
      </w:r>
    </w:p>
    <w:p w14:paraId="5AAD651D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Urgence faible + impact élevé : planifier dans le PACQ, avec un pilote et une échéance</w:t>
      </w:r>
    </w:p>
    <w:p w14:paraId="490CE087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Urgence élevée + impact faible : traiter rapidement – ajustements de procédure ou de traçabilité</w:t>
      </w:r>
    </w:p>
    <w:p w14:paraId="0E0E7077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Urgence faible + impact faible : conserver en veille, réévaluer à la prochaine auto-évaluation</w:t>
      </w:r>
    </w:p>
    <w:p w14:paraId="5AFD3B67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</w:rPr>
        <w:t>📌</w:t>
      </w:r>
      <w:r>
        <w:rPr>
          <w:rFonts w:ascii="Arial" w:eastAsia="Arial" w:hAnsi="Arial" w:cs="Arial"/>
        </w:rPr>
        <w:t xml:space="preserve"> Cette matrice s’applique aux constats de l’autopositionnement (module 4) comme à ceux d’une évaluation externe déjà réalisée</w:t>
      </w:r>
    </w:p>
    <w:p w14:paraId="3FDCC4C5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🧩</w:t>
      </w:r>
      <w:r>
        <w:rPr>
          <w:rFonts w:ascii="Arial" w:eastAsia="Arial" w:hAnsi="Arial" w:cs="Arial"/>
          <w:b/>
          <w:bCs/>
        </w:rPr>
        <w:t xml:space="preserve"> Séquence 2 – Le modèle de fiche action (10 min / 7 min)</w:t>
      </w:r>
    </w:p>
    <w:p w14:paraId="1375980E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Colonnes : constat, action, pilote, échéance, preuve attendue</w:t>
      </w:r>
    </w:p>
    <w:p w14:paraId="21570670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Exemple : traçabilité incomplète du circuit du médicament → réviser la procédure et former les équipes → cadre de santé → 3 mois → procédure signée + registre de formation</w:t>
      </w:r>
    </w:p>
    <w:p w14:paraId="229EB6C1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Un modèle directement réutilisable pour alimenter le PACQ de l’établissement</w:t>
      </w:r>
    </w:p>
    <w:p w14:paraId="3DD5C934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🛠</w:t>
      </w:r>
      <w:r>
        <w:rPr>
          <w:rFonts w:ascii="Arial" w:eastAsia="Arial" w:hAnsi="Arial" w:cs="Arial"/>
          <w:b/>
          <w:bCs/>
        </w:rPr>
        <w:t xml:space="preserve"> Méthode</w:t>
      </w:r>
    </w:p>
    <w:p w14:paraId="4D94A77B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Apport théorique</w:t>
      </w:r>
    </w:p>
    <w:p w14:paraId="5AEA007C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Remplissage individuel du modèle de fiche action</w:t>
      </w:r>
    </w:p>
    <w:p w14:paraId="5E2176FA" w14:textId="77777777" w:rsidR="007328ED" w:rsidRDefault="009E467E">
      <w:pPr>
        <w:spacing w:after="0"/>
        <w:ind w:left="720" w:right="-26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pict w14:anchorId="000007DD">
          <v:rect id="_x0000_i1037" style="width:0;height:1.5pt" o:hralign="center" o:hrstd="t" o:hr="t" fillcolor="#a0a0a0" stroked="f"/>
        </w:pict>
      </w:r>
    </w:p>
    <w:p w14:paraId="44DE3E2B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➡</w:t>
      </w:r>
      <w:r>
        <w:rPr>
          <w:rFonts w:ascii="Segoe UI Emoji" w:eastAsia="Arial" w:hAnsi="Segoe UI Emoji" w:cs="Segoe UI Emoji"/>
          <w:b/>
          <w:bCs/>
        </w:rPr>
        <w:t>️</w:t>
      </w:r>
      <w:r>
        <w:rPr>
          <w:rFonts w:ascii="Arial" w:eastAsia="Arial" w:hAnsi="Arial" w:cs="Arial"/>
          <w:b/>
          <w:bCs/>
        </w:rPr>
        <w:t xml:space="preserve"> ENGAGEMENT INDIVIDUEL – Mon engagement pour les 30 prochains jours (5 min / 4 min)</w:t>
      </w:r>
    </w:p>
    <w:p w14:paraId="1D03E04C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Note individuelle : chaque participant note, seul et par écrit, une action concrète qu’il engage dans les 30 jours</w:t>
      </w:r>
    </w:p>
    <w:p w14:paraId="38C093EF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Formulation précise : l’action est réaliste, formulée avec un verbe d’action et une échéance</w:t>
      </w:r>
    </w:p>
    <w:p w14:paraId="4EF806DF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Partage volontaire : ceux qui le souhaitent partagent leur engagement à voix haute</w:t>
      </w:r>
    </w:p>
    <w:p w14:paraId="1C2C8B0E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</w:rPr>
        <w:t>📌</w:t>
      </w:r>
      <w:r>
        <w:rPr>
          <w:rFonts w:ascii="Arial" w:eastAsia="Arial" w:hAnsi="Arial" w:cs="Arial"/>
        </w:rPr>
        <w:t xml:space="preserve"> Livrables associés : matrice de priorisation impact / urgence, modèle de fiche action</w:t>
      </w:r>
    </w:p>
    <w:p w14:paraId="73DF5D18" w14:textId="77777777" w:rsidR="007328ED" w:rsidRDefault="009E467E">
      <w:pPr>
        <w:spacing w:after="0"/>
        <w:ind w:left="720" w:right="-26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pict w14:anchorId="000007DE">
          <v:rect id="_x0000_i1038" style="width:0;height:1.5pt" o:hralign="center" o:hrstd="t" o:hr="t" fillcolor="#a0a0a0" stroked="f"/>
        </w:pict>
      </w:r>
    </w:p>
    <w:p w14:paraId="5B0346B9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🟦</w:t>
      </w:r>
      <w:r>
        <w:rPr>
          <w:rFonts w:ascii="Arial" w:eastAsia="Arial" w:hAnsi="Arial" w:cs="Arial"/>
          <w:b/>
          <w:bCs/>
        </w:rPr>
        <w:t xml:space="preserve"> CLÔTURE – SYNTHÈSE ET ÉVALUATIONS (10 min – groupe A / 15 min – groupe B)</w:t>
      </w:r>
    </w:p>
    <w:p w14:paraId="27BCFB5A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🎯</w:t>
      </w:r>
      <w:r>
        <w:rPr>
          <w:rFonts w:ascii="Arial" w:eastAsia="Arial" w:hAnsi="Arial" w:cs="Arial"/>
          <w:b/>
          <w:bCs/>
        </w:rPr>
        <w:t xml:space="preserve"> Objectifs</w:t>
      </w:r>
    </w:p>
    <w:p w14:paraId="180384DD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Consolider les acquis</w:t>
      </w:r>
    </w:p>
    <w:p w14:paraId="5A0CCB9B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Recueillir les retours des participants</w:t>
      </w:r>
    </w:p>
    <w:p w14:paraId="37EBD16D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🧩</w:t>
      </w:r>
      <w:r>
        <w:rPr>
          <w:rFonts w:ascii="Arial" w:eastAsia="Arial" w:hAnsi="Arial" w:cs="Arial"/>
          <w:b/>
          <w:bCs/>
        </w:rPr>
        <w:t xml:space="preserve"> Les 5 messages clés à retenir</w:t>
      </w:r>
    </w:p>
    <w:p w14:paraId="6CCE0D73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Un référentiel unique et structuré : 3 chapitres, 9 thématiques, 157 critères</w:t>
      </w:r>
    </w:p>
    <w:p w14:paraId="37E6E03A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Les 18 critères impératifs : jamais « non concerné », toujours un plan d’action si la cotation n’est pas maximale</w:t>
      </w:r>
    </w:p>
    <w:p w14:paraId="2F34D6D4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Trois méthodes de visite : accompagnement traceur, traceur ciblé, audit système – toutes les fonctions sont concernées</w:t>
      </w:r>
    </w:p>
    <w:p w14:paraId="192260FA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La cohérence entre le dire et le faire, plus que la récitation d’un document</w:t>
      </w:r>
    </w:p>
    <w:p w14:paraId="56EF281E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Un pilotage continu via le PACQ, pas seulement à l’approche de la visite</w:t>
      </w:r>
    </w:p>
    <w:p w14:paraId="2FE2E3D0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</w:rPr>
        <w:t>📌</w:t>
      </w:r>
      <w:r>
        <w:rPr>
          <w:rFonts w:ascii="Arial" w:eastAsia="Arial" w:hAnsi="Arial" w:cs="Arial"/>
        </w:rPr>
        <w:t xml:space="preserve"> Évaluation des acquis à chaud : questionnaire court (5 à 8 questions reprenant les 5 objectifs pédagogiques), rempli individuellement en fin de session</w:t>
      </w:r>
    </w:p>
    <w:p w14:paraId="2E4A5F08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</w:rPr>
        <w:t>📌</w:t>
      </w:r>
      <w:r>
        <w:rPr>
          <w:rFonts w:ascii="Arial" w:eastAsia="Arial" w:hAnsi="Arial" w:cs="Arial"/>
        </w:rPr>
        <w:t xml:space="preserve"> Satisfaction et traçabilité : questionnaire de satisfaction anonyme + feuille d’émargement à signer par demi-journée</w:t>
      </w:r>
    </w:p>
    <w:p w14:paraId="762C7FC8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🛠</w:t>
      </w:r>
      <w:r>
        <w:rPr>
          <w:rFonts w:ascii="Arial" w:eastAsia="Arial" w:hAnsi="Arial" w:cs="Arial"/>
          <w:b/>
          <w:bCs/>
        </w:rPr>
        <w:t xml:space="preserve"> Méthode</w:t>
      </w:r>
    </w:p>
    <w:p w14:paraId="242F1F9B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Synthèse orale</w:t>
      </w:r>
    </w:p>
    <w:p w14:paraId="3EDC5234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Questionnaire individuel</w:t>
      </w:r>
    </w:p>
    <w:p w14:paraId="254A6704" w14:textId="77777777" w:rsidR="007328ED" w:rsidRDefault="009E467E">
      <w:pPr>
        <w:spacing w:after="0"/>
        <w:ind w:left="720" w:right="-26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pict w14:anchorId="000007DF">
          <v:rect id="_x0000_i1039" style="width:0;height:1.5pt" o:hralign="center" o:hrstd="t" o:hr="t" fillcolor="#a0a0a0" stroked="f"/>
        </w:pict>
      </w:r>
    </w:p>
    <w:p w14:paraId="325EBAED" w14:textId="77777777" w:rsidR="007328ED" w:rsidRDefault="009E467E">
      <w:pPr>
        <w:spacing w:after="0"/>
        <w:ind w:left="720" w:right="-265"/>
      </w:pPr>
      <w:r>
        <w:rPr>
          <w:rFonts w:ascii="Arial" w:eastAsia="Arial" w:hAnsi="Arial" w:cs="Arial"/>
          <w:b/>
          <w:bCs/>
          <w:color w:val="4C94D8" w:themeColor="text2" w:themeTint="80"/>
        </w:rPr>
        <w:t>4. DISPOSITIF</w:t>
      </w:r>
    </w:p>
    <w:p w14:paraId="7735F1F5" w14:textId="77777777" w:rsidR="007328ED" w:rsidRDefault="009E467E">
      <w:pPr>
        <w:spacing w:after="0"/>
        <w:ind w:left="720" w:right="-265"/>
      </w:pPr>
      <w:r>
        <w:rPr>
          <w:rFonts w:ascii="Segoe UI Symbol" w:eastAsia="Arial" w:hAnsi="Segoe UI Symbol" w:cs="Segoe UI Symbol"/>
        </w:rPr>
        <w:t>✔</w:t>
      </w:r>
      <w:r>
        <w:rPr>
          <w:rFonts w:ascii="Arial" w:eastAsia="Arial" w:hAnsi="Arial" w:cs="Arial"/>
        </w:rPr>
        <w:t xml:space="preserve"> objectifs pédagogiques et opérationnels définis</w:t>
      </w:r>
      <w:r>
        <w:rPr>
          <w:rFonts w:ascii="Arial" w:eastAsia="Arial" w:hAnsi="Arial" w:cs="Arial"/>
        </w:rPr>
        <w:br/>
      </w:r>
      <w:r>
        <w:rPr>
          <w:rFonts w:ascii="Segoe UI Symbol" w:eastAsia="Arial" w:hAnsi="Segoe UI Symbol" w:cs="Segoe UI Symbol"/>
        </w:rPr>
        <w:t>✔</w:t>
      </w:r>
      <w:r>
        <w:rPr>
          <w:rFonts w:ascii="Arial" w:eastAsia="Arial" w:hAnsi="Arial" w:cs="Arial"/>
        </w:rPr>
        <w:t xml:space="preserve"> adaptation à deux formats (3h et 2h30) sans perte du contenu référentiel</w:t>
      </w:r>
      <w:r>
        <w:rPr>
          <w:rFonts w:ascii="Arial" w:eastAsia="Arial" w:hAnsi="Arial" w:cs="Arial"/>
        </w:rPr>
        <w:br/>
      </w:r>
      <w:r>
        <w:rPr>
          <w:rFonts w:ascii="Segoe UI Symbol" w:eastAsia="Arial" w:hAnsi="Segoe UI Symbol" w:cs="Segoe UI Symbol"/>
        </w:rPr>
        <w:t>✔</w:t>
      </w:r>
      <w:r>
        <w:rPr>
          <w:rFonts w:ascii="Arial" w:eastAsia="Arial" w:hAnsi="Arial" w:cs="Arial"/>
        </w:rPr>
        <w:t xml:space="preserve"> alternance pédagogique (apports théoriques, étude de cas, mise en situation, travail en sous-groupes)</w:t>
      </w:r>
      <w:r>
        <w:rPr>
          <w:rFonts w:ascii="Arial" w:eastAsia="Arial" w:hAnsi="Arial" w:cs="Arial"/>
        </w:rPr>
        <w:br/>
      </w:r>
      <w:r>
        <w:rPr>
          <w:rFonts w:ascii="Segoe UI Symbol" w:eastAsia="Arial" w:hAnsi="Segoe UI Symbol" w:cs="Segoe UI Symbol"/>
        </w:rPr>
        <w:t>✔</w:t>
      </w:r>
      <w:r>
        <w:rPr>
          <w:rFonts w:ascii="Arial" w:eastAsia="Arial" w:hAnsi="Arial" w:cs="Arial"/>
        </w:rPr>
        <w:t xml:space="preserve"> évaluation continue (quiz, restitutions, débriefings)</w:t>
      </w:r>
      <w:r>
        <w:rPr>
          <w:rFonts w:ascii="Arial" w:eastAsia="Arial" w:hAnsi="Arial" w:cs="Arial"/>
        </w:rPr>
        <w:br/>
      </w:r>
      <w:r>
        <w:rPr>
          <w:rFonts w:ascii="Segoe UI Symbol" w:eastAsia="Arial" w:hAnsi="Segoe UI Symbol" w:cs="Segoe UI Symbol"/>
        </w:rPr>
        <w:t>✔</w:t>
      </w:r>
      <w:r>
        <w:rPr>
          <w:rFonts w:ascii="Arial" w:eastAsia="Arial" w:hAnsi="Arial" w:cs="Arial"/>
        </w:rPr>
        <w:t xml:space="preserve"> évaluation des acquis à chaud</w:t>
      </w:r>
      <w:r>
        <w:rPr>
          <w:rFonts w:ascii="Arial" w:eastAsia="Arial" w:hAnsi="Arial" w:cs="Arial"/>
        </w:rPr>
        <w:br/>
      </w:r>
      <w:r>
        <w:rPr>
          <w:rFonts w:ascii="Segoe UI Symbol" w:eastAsia="Arial" w:hAnsi="Segoe UI Symbol" w:cs="Segoe UI Symbol"/>
        </w:rPr>
        <w:t>✔</w:t>
      </w:r>
      <w:r>
        <w:rPr>
          <w:rFonts w:ascii="Arial" w:eastAsia="Arial" w:hAnsi="Arial" w:cs="Arial"/>
        </w:rPr>
        <w:t xml:space="preserve"> traçabilité de l’assiduité (feuille d’émargement)</w:t>
      </w:r>
      <w:r>
        <w:rPr>
          <w:rFonts w:ascii="Arial" w:eastAsia="Arial" w:hAnsi="Arial" w:cs="Arial"/>
        </w:rPr>
        <w:br/>
      </w:r>
      <w:r>
        <w:rPr>
          <w:rFonts w:ascii="Segoe UI Symbol" w:eastAsia="Arial" w:hAnsi="Segoe UI Symbol" w:cs="Segoe UI Symbol"/>
        </w:rPr>
        <w:t>✔</w:t>
      </w:r>
      <w:r>
        <w:rPr>
          <w:rFonts w:ascii="Arial" w:eastAsia="Arial" w:hAnsi="Arial" w:cs="Arial"/>
        </w:rPr>
        <w:t xml:space="preserve"> mise en situation professionnelle (entretien traceur)</w:t>
      </w:r>
      <w:r>
        <w:rPr>
          <w:rFonts w:ascii="Arial" w:eastAsia="Arial" w:hAnsi="Arial" w:cs="Arial"/>
        </w:rPr>
        <w:br/>
      </w:r>
      <w:r>
        <w:rPr>
          <w:rFonts w:ascii="Segoe UI Symbol" w:eastAsia="Arial" w:hAnsi="Segoe UI Symbol" w:cs="Segoe UI Symbol"/>
        </w:rPr>
        <w:t>✔</w:t>
      </w:r>
      <w:r>
        <w:rPr>
          <w:rFonts w:ascii="Arial" w:eastAsia="Arial" w:hAnsi="Arial" w:cs="Arial"/>
        </w:rPr>
        <w:t xml:space="preserve"> mobilisation de l’expérience de terrain des participants</w:t>
      </w:r>
    </w:p>
    <w:p w14:paraId="6B90385D" w14:textId="77777777" w:rsidR="007328ED" w:rsidRDefault="009E467E">
      <w:pPr>
        <w:spacing w:after="0"/>
        <w:ind w:left="720" w:right="-26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pict w14:anchorId="000007E0">
          <v:rect id="_x0000_i1040" style="width:0;height:1.5pt" o:hralign="center" o:hrstd="t" o:hr="t" fillcolor="#a0a0a0" stroked="f"/>
        </w:pict>
      </w:r>
    </w:p>
    <w:p w14:paraId="16CF4B70" w14:textId="77777777" w:rsidR="007328ED" w:rsidRDefault="009E467E">
      <w:pPr>
        <w:spacing w:after="0"/>
        <w:ind w:left="720" w:right="-265"/>
      </w:pPr>
      <w:r>
        <w:rPr>
          <w:rFonts w:ascii="Arial" w:eastAsia="Arial" w:hAnsi="Arial" w:cs="Arial"/>
          <w:b/>
          <w:bCs/>
          <w:color w:val="4C94D8" w:themeColor="text2" w:themeTint="80"/>
        </w:rPr>
        <w:t>5. LIVRABLES FORMATION</w:t>
      </w:r>
    </w:p>
    <w:p w14:paraId="298DC0B6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Support d’animation de la formation</w:t>
      </w:r>
    </w:p>
    <w:p w14:paraId="3E26C25C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Grille d’autopositionnement par thématique</w:t>
      </w:r>
    </w:p>
    <w:p w14:paraId="6FFB1EC2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Fiches situation pour la mise en situation « entretien traceur »</w:t>
      </w:r>
    </w:p>
    <w:p w14:paraId="0FD7E26E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Modèle de fiche action (constat / action / pilote / échéance / preuve attendue)</w:t>
      </w:r>
    </w:p>
    <w:p w14:paraId="68164371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Questionnaire d’évaluation des acquis à chaud</w:t>
      </w:r>
    </w:p>
    <w:p w14:paraId="392629B5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Questionnaire de satisfaction</w:t>
      </w:r>
    </w:p>
    <w:sectPr w:rsidR="007328ED">
      <w:headerReference w:type="default" r:id="rId7"/>
      <w:pgSz w:w="11906" w:h="16838"/>
      <w:pgMar w:top="709" w:right="1422" w:bottom="1440" w:left="9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F95E8" w14:textId="77777777" w:rsidR="009E467E" w:rsidRDefault="009E467E" w:rsidP="00D43B5D">
      <w:pPr>
        <w:spacing w:after="0" w:line="240" w:lineRule="auto"/>
      </w:pPr>
      <w:r>
        <w:separator/>
      </w:r>
    </w:p>
  </w:endnote>
  <w:endnote w:type="continuationSeparator" w:id="0">
    <w:p w14:paraId="2BAB1C43" w14:textId="77777777" w:rsidR="009E467E" w:rsidRDefault="009E467E" w:rsidP="00D43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3FB21" w14:textId="77777777" w:rsidR="009E467E" w:rsidRDefault="009E467E" w:rsidP="00D43B5D">
      <w:pPr>
        <w:spacing w:after="0" w:line="240" w:lineRule="auto"/>
      </w:pPr>
      <w:r>
        <w:separator/>
      </w:r>
    </w:p>
  </w:footnote>
  <w:footnote w:type="continuationSeparator" w:id="0">
    <w:p w14:paraId="1021590F" w14:textId="77777777" w:rsidR="009E467E" w:rsidRDefault="009E467E" w:rsidP="00D43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8C10C" w14:textId="77777777" w:rsidR="00D43B5D" w:rsidRDefault="00D43B5D" w:rsidP="006C1415">
    <w:pPr>
      <w:pStyle w:val="En-tte"/>
      <w:tabs>
        <w:tab w:val="left" w:pos="3435"/>
      </w:tabs>
    </w:pPr>
    <w:r>
      <w:rPr>
        <w:noProof/>
      </w:rPr>
      <w:drawing>
        <wp:inline distT="0" distB="0" distL="0" distR="0" wp14:anchorId="4647B701" wp14:editId="0000AED6">
          <wp:extent cx="914400" cy="445135"/>
          <wp:effectExtent l="0" t="0" r="0" b="0"/>
          <wp:docPr id="49128818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 w:rsidR="006C1415">
      <w:rPr>
        <w:noProof/>
      </w:rPr>
      <w:drawing>
        <wp:inline distT="0" distB="0" distL="0" distR="0" wp14:anchorId="5BE3D3DF" wp14:editId="25778C3D">
          <wp:extent cx="1475105" cy="463550"/>
          <wp:effectExtent l="0" t="0" r="0" b="0"/>
          <wp:docPr id="181110138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105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492405">
      <w:t xml:space="preserve">                          </w:t>
    </w:r>
    <w:r w:rsidR="00492405">
      <w:rPr>
        <w:noProof/>
      </w:rPr>
      <w:drawing>
        <wp:inline distT="0" distB="0" distL="0" distR="0" wp14:anchorId="4BC1EBE9" wp14:editId="700CBF3A">
          <wp:extent cx="1495425" cy="888082"/>
          <wp:effectExtent l="0" t="0" r="0" b="7620"/>
          <wp:docPr id="352017707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566" cy="8905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6C1415">
      <w:tab/>
    </w:r>
    <w:r>
      <w:t xml:space="preserve">                                                                                                                    </w:t>
    </w:r>
  </w:p>
  <w:p w14:paraId="4192C812" w14:textId="77777777" w:rsidR="00D43B5D" w:rsidRDefault="00D43B5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34B01"/>
    <w:multiLevelType w:val="multilevel"/>
    <w:tmpl w:val="43989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76343"/>
    <w:multiLevelType w:val="multilevel"/>
    <w:tmpl w:val="97B43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4F468B"/>
    <w:multiLevelType w:val="multilevel"/>
    <w:tmpl w:val="2DD4A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62143A"/>
    <w:multiLevelType w:val="multilevel"/>
    <w:tmpl w:val="2D08E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A343F3"/>
    <w:multiLevelType w:val="multilevel"/>
    <w:tmpl w:val="EE921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245CB"/>
    <w:multiLevelType w:val="multilevel"/>
    <w:tmpl w:val="85709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805235"/>
    <w:multiLevelType w:val="multilevel"/>
    <w:tmpl w:val="F8DEF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804B85"/>
    <w:multiLevelType w:val="multilevel"/>
    <w:tmpl w:val="D2742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772761"/>
    <w:multiLevelType w:val="multilevel"/>
    <w:tmpl w:val="C55CF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8A7C71"/>
    <w:multiLevelType w:val="multilevel"/>
    <w:tmpl w:val="BF465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197116"/>
    <w:multiLevelType w:val="multilevel"/>
    <w:tmpl w:val="70F02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E751A1"/>
    <w:multiLevelType w:val="multilevel"/>
    <w:tmpl w:val="CDBE8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F74124"/>
    <w:multiLevelType w:val="multilevel"/>
    <w:tmpl w:val="72B4E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5C2BAA"/>
    <w:multiLevelType w:val="multilevel"/>
    <w:tmpl w:val="8910D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B630A3"/>
    <w:multiLevelType w:val="multilevel"/>
    <w:tmpl w:val="4B600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CC7702"/>
    <w:multiLevelType w:val="multilevel"/>
    <w:tmpl w:val="CF928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4E458B"/>
    <w:multiLevelType w:val="multilevel"/>
    <w:tmpl w:val="2F400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8821B2"/>
    <w:multiLevelType w:val="multilevel"/>
    <w:tmpl w:val="BB1E0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DE1F05"/>
    <w:multiLevelType w:val="multilevel"/>
    <w:tmpl w:val="718C7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E16538"/>
    <w:multiLevelType w:val="multilevel"/>
    <w:tmpl w:val="C13ED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8546ED"/>
    <w:multiLevelType w:val="multilevel"/>
    <w:tmpl w:val="49604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234142"/>
    <w:multiLevelType w:val="multilevel"/>
    <w:tmpl w:val="9FF89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4270CD"/>
    <w:multiLevelType w:val="multilevel"/>
    <w:tmpl w:val="5DE6A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E4104E"/>
    <w:multiLevelType w:val="multilevel"/>
    <w:tmpl w:val="64F48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355AD1"/>
    <w:multiLevelType w:val="multilevel"/>
    <w:tmpl w:val="A02C6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8914AAC"/>
    <w:multiLevelType w:val="multilevel"/>
    <w:tmpl w:val="ED3EF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817A87"/>
    <w:multiLevelType w:val="multilevel"/>
    <w:tmpl w:val="B04A9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1AD47E0"/>
    <w:multiLevelType w:val="multilevel"/>
    <w:tmpl w:val="566CC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7965806">
    <w:abstractNumId w:val="4"/>
  </w:num>
  <w:num w:numId="2" w16cid:durableId="143015416">
    <w:abstractNumId w:val="25"/>
  </w:num>
  <w:num w:numId="3" w16cid:durableId="533035442">
    <w:abstractNumId w:val="3"/>
  </w:num>
  <w:num w:numId="4" w16cid:durableId="926427539">
    <w:abstractNumId w:val="0"/>
  </w:num>
  <w:num w:numId="5" w16cid:durableId="288052818">
    <w:abstractNumId w:val="16"/>
  </w:num>
  <w:num w:numId="6" w16cid:durableId="1164786248">
    <w:abstractNumId w:val="22"/>
  </w:num>
  <w:num w:numId="7" w16cid:durableId="1510607254">
    <w:abstractNumId w:val="9"/>
  </w:num>
  <w:num w:numId="8" w16cid:durableId="1344817242">
    <w:abstractNumId w:val="27"/>
  </w:num>
  <w:num w:numId="9" w16cid:durableId="1387292752">
    <w:abstractNumId w:val="23"/>
  </w:num>
  <w:num w:numId="10" w16cid:durableId="1552689749">
    <w:abstractNumId w:val="1"/>
  </w:num>
  <w:num w:numId="11" w16cid:durableId="385642151">
    <w:abstractNumId w:val="13"/>
  </w:num>
  <w:num w:numId="12" w16cid:durableId="1130320336">
    <w:abstractNumId w:val="15"/>
  </w:num>
  <w:num w:numId="13" w16cid:durableId="1218661560">
    <w:abstractNumId w:val="20"/>
  </w:num>
  <w:num w:numId="14" w16cid:durableId="2086609019">
    <w:abstractNumId w:val="24"/>
  </w:num>
  <w:num w:numId="15" w16cid:durableId="103619113">
    <w:abstractNumId w:val="18"/>
  </w:num>
  <w:num w:numId="16" w16cid:durableId="756292673">
    <w:abstractNumId w:val="14"/>
  </w:num>
  <w:num w:numId="17" w16cid:durableId="203636957">
    <w:abstractNumId w:val="5"/>
  </w:num>
  <w:num w:numId="18" w16cid:durableId="987514183">
    <w:abstractNumId w:val="11"/>
  </w:num>
  <w:num w:numId="19" w16cid:durableId="1006253123">
    <w:abstractNumId w:val="26"/>
  </w:num>
  <w:num w:numId="20" w16cid:durableId="1243023380">
    <w:abstractNumId w:val="8"/>
  </w:num>
  <w:num w:numId="21" w16cid:durableId="2078940282">
    <w:abstractNumId w:val="2"/>
  </w:num>
  <w:num w:numId="22" w16cid:durableId="640427722">
    <w:abstractNumId w:val="6"/>
  </w:num>
  <w:num w:numId="23" w16cid:durableId="1855994835">
    <w:abstractNumId w:val="21"/>
  </w:num>
  <w:num w:numId="24" w16cid:durableId="43145840">
    <w:abstractNumId w:val="17"/>
  </w:num>
  <w:num w:numId="25" w16cid:durableId="1396929177">
    <w:abstractNumId w:val="19"/>
  </w:num>
  <w:num w:numId="26" w16cid:durableId="130710260">
    <w:abstractNumId w:val="12"/>
  </w:num>
  <w:num w:numId="27" w16cid:durableId="571812353">
    <w:abstractNumId w:val="7"/>
  </w:num>
  <w:num w:numId="28" w16cid:durableId="746346815">
    <w:abstractNumId w:val="1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1AE"/>
    <w:rsid w:val="000054A2"/>
    <w:rsid w:val="000A24E7"/>
    <w:rsid w:val="000B31AE"/>
    <w:rsid w:val="0017299E"/>
    <w:rsid w:val="0026242A"/>
    <w:rsid w:val="00272AAC"/>
    <w:rsid w:val="00355C32"/>
    <w:rsid w:val="00384FF7"/>
    <w:rsid w:val="004911CD"/>
    <w:rsid w:val="00492405"/>
    <w:rsid w:val="005165DB"/>
    <w:rsid w:val="00684FBD"/>
    <w:rsid w:val="006C1415"/>
    <w:rsid w:val="007328ED"/>
    <w:rsid w:val="0085160D"/>
    <w:rsid w:val="008B2B0C"/>
    <w:rsid w:val="00927DA9"/>
    <w:rsid w:val="00961595"/>
    <w:rsid w:val="009E467E"/>
    <w:rsid w:val="00A7340C"/>
    <w:rsid w:val="00A96103"/>
    <w:rsid w:val="00B9088E"/>
    <w:rsid w:val="00BF598F"/>
    <w:rsid w:val="00C44E2B"/>
    <w:rsid w:val="00C53200"/>
    <w:rsid w:val="00CA4CE5"/>
    <w:rsid w:val="00CC17B5"/>
    <w:rsid w:val="00D43B5D"/>
    <w:rsid w:val="00E12C25"/>
    <w:rsid w:val="00F24A8A"/>
    <w:rsid w:val="00F424B1"/>
    <w:rsid w:val="00F520CE"/>
    <w:rsid w:val="00F91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55245"/>
  <w15:docId w15:val="{06991358-B375-45A7-9412-7C25D8AE1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E12C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424B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424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D43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43B5D"/>
    <w:rPr>
      <w:rFonts w:ascii="Calibri" w:eastAsia="Calibri" w:hAnsi="Calibri" w:cs="Calibri"/>
      <w:color w:val="000000"/>
      <w:sz w:val="22"/>
    </w:rPr>
  </w:style>
  <w:style w:type="paragraph" w:styleId="Pieddepage">
    <w:name w:val="footer"/>
    <w:basedOn w:val="Normal"/>
    <w:link w:val="PieddepageCar"/>
    <w:uiPriority w:val="99"/>
    <w:unhideWhenUsed/>
    <w:rsid w:val="00D43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43B5D"/>
    <w:rPr>
      <w:rFonts w:ascii="Calibri" w:eastAsia="Calibri" w:hAnsi="Calibri" w:cs="Calibri"/>
      <w:color w:val="000000"/>
      <w:sz w:val="22"/>
    </w:rPr>
  </w:style>
  <w:style w:type="character" w:customStyle="1" w:styleId="Titre1Car">
    <w:name w:val="Titre 1 Car"/>
    <w:basedOn w:val="Policepardfaut"/>
    <w:link w:val="Titre1"/>
    <w:uiPriority w:val="9"/>
    <w:rsid w:val="00E12C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F424B1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F424B1"/>
    <w:rPr>
      <w:rFonts w:asciiTheme="majorHAnsi" w:eastAsiaTheme="majorEastAsia" w:hAnsiTheme="majorHAnsi" w:cstheme="majorBidi"/>
      <w:color w:val="0A2F4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1860</Words>
  <Characters>10234</Characters>
  <Application>Microsoft Office Word</Application>
  <DocSecurity>0</DocSecurity>
  <Lines>85</Lines>
  <Paragraphs>24</Paragraphs>
  <ScaleCrop>false</ScaleCrop>
  <Company/>
  <LinksUpToDate>false</LinksUpToDate>
  <CharactersWithSpaces>12070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 d’appui au projet d’entreprise pour la création ou la reprise d’une activité économique</dc:title>
  <dc:subject/>
  <dc:creator>Nadia Sassi</dc:creator>
  <cp:keywords/>
  <cp:lastModifiedBy>Nadia SASSI</cp:lastModifiedBy>
  <cp:revision>2</cp:revision>
  <dcterms:created xsi:type="dcterms:W3CDTF">2026-09-22T20:06:00Z</dcterms:created>
  <dcterms:modified xsi:type="dcterms:W3CDTF">2026-09-22T20:06:00Z</dcterms:modified>
</cp:coreProperties>
</file>