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1A5D" w14:textId="77777777" w:rsidR="007328ED" w:rsidRDefault="009E467E">
      <w:pPr>
        <w:spacing w:after="0"/>
        <w:ind w:left="720" w:right="-265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                                    </w:t>
      </w:r>
      <w:r>
        <w:rPr>
          <w:rFonts w:ascii="Arial" w:eastAsia="Arial" w:hAnsi="Arial" w:cs="Arial"/>
          <w:b/>
          <w:bCs/>
        </w:rPr>
        <w:t xml:space="preserve">DÉROULÉ PÉDAGOGIQUE – </w:t>
      </w:r>
    </w:p>
    <w:p w14:paraId="4BC321B3" w14:textId="77777777" w:rsidR="007328ED" w:rsidRDefault="009E467E">
      <w:pPr>
        <w:spacing w:after="0"/>
        <w:ind w:left="720" w:right="-265"/>
        <w:rPr>
          <w:rFonts w:ascii="Arial" w:eastAsia="Arial" w:hAnsi="Arial" w:cs="Arial"/>
          <w:b/>
          <w:bCs/>
          <w:color w:val="4C94D8" w:themeColor="text2" w:themeTint="80"/>
        </w:rPr>
      </w:pPr>
      <w:r>
        <w:rPr>
          <w:rFonts w:ascii="Arial" w:eastAsia="Arial" w:hAnsi="Arial" w:cs="Arial"/>
          <w:color w:val="4C94D8" w:themeColor="text2" w:themeTint="80"/>
        </w:rPr>
        <w:t xml:space="preserve">                   </w:t>
      </w:r>
      <w:r>
        <w:rPr>
          <w:rFonts w:ascii="Arial" w:eastAsia="Arial" w:hAnsi="Arial" w:cs="Arial"/>
          <w:b/>
          <w:bCs/>
          <w:color w:val="4C94D8" w:themeColor="text2" w:themeTint="80"/>
        </w:rPr>
        <w:t>Formation : Piloter et réussir l’évaluation externe : appropriation du référentiel HAS et mise en conformité des pratiques professionnelles</w:t>
      </w:r>
    </w:p>
    <w:p w14:paraId="17F0A78C" w14:textId="08811E64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</w:rPr>
        <w:t>Durée : 3h00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  <w:bCs/>
        </w:rPr>
        <w:t>Public : directeurs, cadres, équipe qualité et professionnels de terrain d’ESSMS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b/>
          <w:bCs/>
        </w:rPr>
        <w:t>Modalité : présentiel</w:t>
      </w:r>
      <w:r w:rsidR="003E436C">
        <w:rPr>
          <w:rFonts w:ascii="Arial" w:eastAsia="Arial" w:hAnsi="Arial" w:cs="Arial"/>
          <w:b/>
          <w:bCs/>
        </w:rPr>
        <w:t xml:space="preserve"> sur site client</w:t>
      </w:r>
    </w:p>
    <w:p w14:paraId="06585F55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1">
          <v:rect id="_x0000_i1025" style="width:0;height:1.5pt" o:hralign="center" o:hrstd="t" o:hr="t" fillcolor="#a0a0a0" stroked="f"/>
        </w:pict>
      </w:r>
    </w:p>
    <w:p w14:paraId="074DFF92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  <w:color w:val="4C94D8" w:themeColor="text2" w:themeTint="80"/>
        </w:rPr>
        <w:t>1. FINALITÉ DE LA FORMATION</w:t>
      </w:r>
    </w:p>
    <w:p w14:paraId="565246A6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</w:rPr>
        <w:t>À l’issue de la formation, les participants seront capables de :</w:t>
      </w:r>
    </w:p>
    <w:p w14:paraId="2D6D3A81" w14:textId="77777777" w:rsidR="007328ED" w:rsidRDefault="009E467E" w:rsidP="003E436C">
      <w:pPr>
        <w:numPr>
          <w:ilvl w:val="0"/>
          <w:numId w:val="1"/>
        </w:numPr>
        <w:tabs>
          <w:tab w:val="clear" w:pos="720"/>
          <w:tab w:val="num" w:pos="1134"/>
        </w:tabs>
        <w:spacing w:after="0"/>
        <w:ind w:left="1134" w:right="-265"/>
      </w:pPr>
      <w:r>
        <w:rPr>
          <w:rFonts w:ascii="Arial" w:eastAsia="Arial" w:hAnsi="Arial" w:cs="Arial"/>
        </w:rPr>
        <w:t>Expliquer l’architecture du référentiel HAS et resituer la logique de la réforme</w:t>
      </w:r>
    </w:p>
    <w:p w14:paraId="526A256D" w14:textId="77777777" w:rsidR="007328ED" w:rsidRDefault="009E467E" w:rsidP="003E436C">
      <w:pPr>
        <w:numPr>
          <w:ilvl w:val="0"/>
          <w:numId w:val="1"/>
        </w:numPr>
        <w:tabs>
          <w:tab w:val="clear" w:pos="720"/>
          <w:tab w:val="num" w:pos="1134"/>
        </w:tabs>
        <w:spacing w:after="0"/>
        <w:ind w:left="1134" w:right="-265"/>
      </w:pPr>
      <w:r>
        <w:rPr>
          <w:rFonts w:ascii="Arial" w:eastAsia="Arial" w:hAnsi="Arial" w:cs="Arial"/>
        </w:rPr>
        <w:t>Identifier les critères impératifs et leurs implications opérationnelles</w:t>
      </w:r>
    </w:p>
    <w:p w14:paraId="4D2ABA23" w14:textId="77777777" w:rsidR="007328ED" w:rsidRDefault="009E467E" w:rsidP="003E436C">
      <w:pPr>
        <w:numPr>
          <w:ilvl w:val="0"/>
          <w:numId w:val="1"/>
        </w:numPr>
        <w:tabs>
          <w:tab w:val="clear" w:pos="720"/>
          <w:tab w:val="num" w:pos="1134"/>
        </w:tabs>
        <w:spacing w:after="0"/>
        <w:ind w:left="1134" w:right="-265"/>
      </w:pPr>
      <w:r>
        <w:rPr>
          <w:rFonts w:ascii="Arial" w:eastAsia="Arial" w:hAnsi="Arial" w:cs="Arial"/>
        </w:rPr>
        <w:t>Décrire les méthodes de la visite d’évaluation et ce qu’elles impliquent pour chaque fonction</w:t>
      </w:r>
    </w:p>
    <w:p w14:paraId="7B33ADFF" w14:textId="77777777" w:rsidR="007328ED" w:rsidRDefault="009E467E" w:rsidP="003E436C">
      <w:pPr>
        <w:numPr>
          <w:ilvl w:val="0"/>
          <w:numId w:val="1"/>
        </w:numPr>
        <w:tabs>
          <w:tab w:val="clear" w:pos="720"/>
          <w:tab w:val="num" w:pos="1134"/>
        </w:tabs>
        <w:spacing w:after="0"/>
        <w:ind w:left="1134" w:right="-265"/>
      </w:pPr>
      <w:r>
        <w:rPr>
          <w:rFonts w:ascii="Arial" w:eastAsia="Arial" w:hAnsi="Arial" w:cs="Arial"/>
        </w:rPr>
        <w:t>Repérer, dans ses pratiques quotidiennes, les écarts au regard des attendus du référentiel</w:t>
      </w:r>
    </w:p>
    <w:p w14:paraId="08A71550" w14:textId="77777777" w:rsidR="007328ED" w:rsidRDefault="009E467E" w:rsidP="003E436C">
      <w:pPr>
        <w:numPr>
          <w:ilvl w:val="0"/>
          <w:numId w:val="1"/>
        </w:numPr>
        <w:tabs>
          <w:tab w:val="clear" w:pos="720"/>
          <w:tab w:val="num" w:pos="1134"/>
        </w:tabs>
        <w:spacing w:after="0"/>
        <w:ind w:left="1134" w:right="-265"/>
      </w:pPr>
      <w:r>
        <w:rPr>
          <w:rFonts w:ascii="Arial" w:eastAsia="Arial" w:hAnsi="Arial" w:cs="Arial"/>
        </w:rPr>
        <w:t>Formuler des actions de mise en conformité priorisées, intégrables au plan d’amélioration continue de la qualité (PACQ)</w:t>
      </w:r>
    </w:p>
    <w:p w14:paraId="0CE95357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2">
          <v:rect id="_x0000_i1026" style="width:0;height:1.5pt" o:hralign="center" o:hrstd="t" o:hr="t" fillcolor="#a0a0a0" stroked="f"/>
        </w:pict>
      </w:r>
    </w:p>
    <w:p w14:paraId="6E2EE9B3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  <w:color w:val="4C94D8" w:themeColor="text2" w:themeTint="80"/>
        </w:rPr>
        <w:t>2. ARCHITECTURE GLOBALE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30"/>
        <w:gridCol w:w="2060"/>
      </w:tblGrid>
      <w:tr w:rsidR="000F6DFE" w14:paraId="56E6796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C8619B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  <w:b/>
                <w:bCs/>
              </w:rPr>
              <w:t>Séquence</w:t>
            </w:r>
          </w:p>
        </w:tc>
        <w:tc>
          <w:tcPr>
            <w:tcW w:w="0" w:type="auto"/>
            <w:vAlign w:val="center"/>
            <w:hideMark/>
          </w:tcPr>
          <w:p w14:paraId="5A55283C" w14:textId="197B0C8D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  <w:b/>
                <w:bCs/>
              </w:rPr>
              <w:t xml:space="preserve"> 3h00</w:t>
            </w:r>
          </w:p>
        </w:tc>
      </w:tr>
      <w:tr w:rsidR="000F6DFE" w14:paraId="3E9300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C72A1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Ouverture – cadre et objectifs</w:t>
            </w:r>
          </w:p>
        </w:tc>
        <w:tc>
          <w:tcPr>
            <w:tcW w:w="0" w:type="auto"/>
            <w:vAlign w:val="center"/>
            <w:hideMark/>
          </w:tcPr>
          <w:p w14:paraId="58568140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10 min</w:t>
            </w:r>
          </w:p>
        </w:tc>
      </w:tr>
      <w:tr w:rsidR="000F6DFE" w14:paraId="22B4D0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8BBF83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Module 1 – Comprendre la réforme et l’architecture du référentiel</w:t>
            </w:r>
          </w:p>
        </w:tc>
        <w:tc>
          <w:tcPr>
            <w:tcW w:w="0" w:type="auto"/>
            <w:vAlign w:val="center"/>
            <w:hideMark/>
          </w:tcPr>
          <w:p w14:paraId="143EBFB6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25 min</w:t>
            </w:r>
          </w:p>
        </w:tc>
      </w:tr>
      <w:tr w:rsidR="000F6DFE" w14:paraId="529A61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F109E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Module 2 – Cotation, critères impératifs, rapport et PACQ</w:t>
            </w:r>
          </w:p>
        </w:tc>
        <w:tc>
          <w:tcPr>
            <w:tcW w:w="0" w:type="auto"/>
            <w:vAlign w:val="center"/>
            <w:hideMark/>
          </w:tcPr>
          <w:p w14:paraId="2A4D3B37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25 min</w:t>
            </w:r>
          </w:p>
        </w:tc>
      </w:tr>
      <w:tr w:rsidR="000F6DFE" w14:paraId="45EEB3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16C09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Pause</w:t>
            </w:r>
          </w:p>
        </w:tc>
        <w:tc>
          <w:tcPr>
            <w:tcW w:w="0" w:type="auto"/>
            <w:vAlign w:val="center"/>
            <w:hideMark/>
          </w:tcPr>
          <w:p w14:paraId="56BA4E5D" w14:textId="303FA14C" w:rsidR="000F6DFE" w:rsidRDefault="000F6DFE">
            <w:pPr>
              <w:spacing w:after="0"/>
              <w:ind w:left="720" w:right="-265"/>
            </w:pPr>
          </w:p>
        </w:tc>
      </w:tr>
      <w:tr w:rsidR="000F6DFE" w14:paraId="0D745E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E5E89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Module 3 – La visite d’évaluation : traceurs et posture professionnelle</w:t>
            </w:r>
          </w:p>
        </w:tc>
        <w:tc>
          <w:tcPr>
            <w:tcW w:w="0" w:type="auto"/>
            <w:vAlign w:val="center"/>
            <w:hideMark/>
          </w:tcPr>
          <w:p w14:paraId="322DA44F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40 min</w:t>
            </w:r>
          </w:p>
        </w:tc>
      </w:tr>
      <w:tr w:rsidR="000F6DFE" w14:paraId="095807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F9317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 xml:space="preserve">Module 4 – </w:t>
            </w:r>
            <w:proofErr w:type="spellStart"/>
            <w:r>
              <w:rPr>
                <w:rFonts w:ascii="Arial" w:eastAsia="Arial" w:hAnsi="Arial" w:cs="Arial"/>
              </w:rPr>
              <w:t>Autopositionnement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CA9FCA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35 min</w:t>
            </w:r>
          </w:p>
        </w:tc>
      </w:tr>
      <w:tr w:rsidR="000F6DFE" w14:paraId="1F32C0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2A710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Module 5 – Du diagnostic au plan de mise en conformité</w:t>
            </w:r>
          </w:p>
        </w:tc>
        <w:tc>
          <w:tcPr>
            <w:tcW w:w="0" w:type="auto"/>
            <w:vAlign w:val="center"/>
            <w:hideMark/>
          </w:tcPr>
          <w:p w14:paraId="796FD3F2" w14:textId="7BED0B10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30 min</w:t>
            </w:r>
          </w:p>
        </w:tc>
      </w:tr>
      <w:tr w:rsidR="000F6DFE" w14:paraId="4C3FEA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43B4B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Clôture – synthèse et évaluations</w:t>
            </w:r>
          </w:p>
        </w:tc>
        <w:tc>
          <w:tcPr>
            <w:tcW w:w="0" w:type="auto"/>
            <w:vAlign w:val="center"/>
            <w:hideMark/>
          </w:tcPr>
          <w:p w14:paraId="32639320" w14:textId="3A3EB54F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</w:rPr>
              <w:t>15 min</w:t>
            </w:r>
          </w:p>
        </w:tc>
      </w:tr>
      <w:tr w:rsidR="000F6DFE" w14:paraId="166BDE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26F734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  <w:b/>
                <w:bCs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30E65311" w14:textId="77777777" w:rsidR="000F6DFE" w:rsidRDefault="000F6DFE">
            <w:pPr>
              <w:spacing w:after="0"/>
              <w:ind w:left="720" w:right="-265"/>
            </w:pPr>
            <w:r>
              <w:rPr>
                <w:rFonts w:ascii="Arial" w:eastAsia="Arial" w:hAnsi="Arial" w:cs="Arial"/>
                <w:b/>
                <w:bCs/>
              </w:rPr>
              <w:t>180 min (3h)</w:t>
            </w:r>
          </w:p>
        </w:tc>
      </w:tr>
    </w:tbl>
    <w:p w14:paraId="43373FFC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3">
          <v:rect id="_x0000_i1027" style="width:0;height:1.5pt" o:hralign="center" o:hrstd="t" o:hr="t" fillcolor="#a0a0a0" stroked="f"/>
        </w:pict>
      </w:r>
    </w:p>
    <w:p w14:paraId="399E8602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  <w:color w:val="4C94D8" w:themeColor="text2" w:themeTint="80"/>
        </w:rPr>
        <w:t>3. DÉROULÉ PÉDAGOGIQUE DÉTAILLÉ</w:t>
      </w:r>
    </w:p>
    <w:p w14:paraId="1187BDF1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4">
          <v:rect id="_x0000_i1028" style="width:0;height:1.5pt" o:hralign="center" o:hrstd="t" o:hr="t" fillcolor="#a0a0a0" stroked="f"/>
        </w:pict>
      </w:r>
    </w:p>
    <w:p w14:paraId="1F8E7768" w14:textId="3BADC78F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OUVERTURE – CADRE ET OBJECTIFS</w:t>
      </w:r>
      <w:r w:rsidR="000F6DFE"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</w:rPr>
        <w:t>10 min</w:t>
      </w:r>
    </w:p>
    <w:p w14:paraId="378794BE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67620D3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Poser le cadre et les objectifs de la session</w:t>
      </w:r>
    </w:p>
    <w:p w14:paraId="37A11EA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Recueillir les attentes des participants</w:t>
      </w:r>
    </w:p>
    <w:p w14:paraId="3B214D80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Resituer les enjeux de la réforme de l’évaluation externe pour l’ESSMS</w:t>
      </w:r>
    </w:p>
    <w:p w14:paraId="07A6EBC3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Déroulé</w:t>
      </w:r>
    </w:p>
    <w:p w14:paraId="29AF5D86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Tour de table rapide : fonction, structure, attentes</w:t>
      </w:r>
    </w:p>
    <w:p w14:paraId="47A3B4A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Présentation des objectifs pédagogiques et du déroulé de la session</w:t>
      </w:r>
    </w:p>
    <w:p w14:paraId="6E56FFE6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Rappel du contexte : réforme HAS 2022, un référentiel unique pour tous les ESSMS</w:t>
      </w:r>
    </w:p>
    <w:p w14:paraId="1AA41D75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250AD19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Exposé interactif</w:t>
      </w:r>
    </w:p>
    <w:p w14:paraId="2B168D2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lastRenderedPageBreak/>
        <w:t>Tour de table guidé</w:t>
      </w:r>
    </w:p>
    <w:p w14:paraId="1B310295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5">
          <v:rect id="_x0000_i1029" style="width:0;height:1.5pt" o:hralign="center" o:hrstd="t" o:hr="t" fillcolor="#a0a0a0" stroked="f"/>
        </w:pict>
      </w:r>
    </w:p>
    <w:p w14:paraId="423CCE91" w14:textId="14CD7AD0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MODULE 1 – Comprendre la réforme et l’architecture du référentiel (25 min)</w:t>
      </w:r>
    </w:p>
    <w:p w14:paraId="31CD729C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31B28DA9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Expliquer l’architecture du référentiel HAS</w:t>
      </w:r>
    </w:p>
    <w:p w14:paraId="29F14EB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Resituer la logique de la réforme de 2022</w:t>
      </w:r>
    </w:p>
    <w:p w14:paraId="29654614" w14:textId="0149462A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1 – D’une pluralité de référentiels à un cadre commun </w:t>
      </w:r>
    </w:p>
    <w:p w14:paraId="2D3E3C5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Avant 2022 : référentiels différents selon le secteur, évaluation interne et externe séparées, périodicités distinctes (5 ans / 7 ans)</w:t>
      </w:r>
    </w:p>
    <w:p w14:paraId="479CBB1A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Depuis 2022 : référentiel national unique, HAS seule autorité, méthode harmonisée portée par des organismes accrédités Cofrac</w:t>
      </w:r>
    </w:p>
    <w:p w14:paraId="62C2BFD1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Appui support : slide « Repères réglementaires » (loi du 2 janvier 2002, réforme 2022, Cofrac, périodicité)</w:t>
      </w:r>
    </w:p>
    <w:p w14:paraId="644599ED" w14:textId="7315592D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2 – L’architecture en un coup d’œil </w:t>
      </w:r>
    </w:p>
    <w:p w14:paraId="5D2F139B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3 chapitres, 9 thématiques, 42 objectifs de qualité, 157 critères</w:t>
      </w:r>
    </w:p>
    <w:p w14:paraId="720FFA7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Emboîtement chapitre → thématique → objectif de qualité → critère</w:t>
      </w:r>
    </w:p>
    <w:p w14:paraId="6A08D3A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129 critères génériques (communs à tous les ESSMS), 28 critères spécifiques (selon secteur et public accompagné)</w:t>
      </w:r>
    </w:p>
    <w:p w14:paraId="6FAC12C4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➡️</w:t>
      </w:r>
      <w:r>
        <w:rPr>
          <w:rFonts w:ascii="Arial" w:eastAsia="Arial" w:hAnsi="Arial" w:cs="Arial"/>
        </w:rPr>
        <w:t xml:space="preserve"> Quiz d’ancrage flash : 5 affirmations vrai/faux, réponse à main levée, correction immédiate</w:t>
      </w:r>
    </w:p>
    <w:p w14:paraId="3758E164" w14:textId="150AFBBA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3 – Les 3 chapitres du référentiel</w:t>
      </w:r>
    </w:p>
    <w:p w14:paraId="67CB7A4A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Chapitre 1 – La personne accompagnée : 7 des 9 thématiques (bientraitance, droits, expression, projet personnalisé, autonomie, santé, continuité des parcours)</w:t>
      </w:r>
    </w:p>
    <w:p w14:paraId="041F553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Chapitres 2 et 3 – Les professionnels (RH, QVCT, prévention) et l’ESSMS (gouvernance, gestion des risques, continuité d’activité)</w:t>
      </w:r>
    </w:p>
    <w:p w14:paraId="411584F0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7199B01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Apport théorique</w:t>
      </w:r>
    </w:p>
    <w:p w14:paraId="3006734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Quiz d’ancrage</w:t>
      </w:r>
    </w:p>
    <w:p w14:paraId="028202F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Support visuel projeté</w:t>
      </w:r>
    </w:p>
    <w:p w14:paraId="50B80409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Évaluation module 1 : correction immédiate et collective du quiz d’ancrage</w:t>
      </w:r>
    </w:p>
    <w:p w14:paraId="3E7FAC5B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6">
          <v:rect id="_x0000_i1030" style="width:0;height:1.5pt" o:hralign="center" o:hrstd="t" o:hr="t" fillcolor="#a0a0a0" stroked="f"/>
        </w:pict>
      </w:r>
    </w:p>
    <w:p w14:paraId="4303FCCB" w14:textId="6A816695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MODULE 2 – Cotation, critères impératifs, rapport et PACQ</w:t>
      </w:r>
      <w:r w:rsidR="000F6DFE">
        <w:rPr>
          <w:rFonts w:ascii="Arial" w:eastAsia="Arial" w:hAnsi="Arial" w:cs="Arial"/>
          <w:b/>
          <w:bCs/>
        </w:rPr>
        <w:t xml:space="preserve"> (25 mn</w:t>
      </w:r>
      <w:r>
        <w:rPr>
          <w:rFonts w:ascii="Arial" w:eastAsia="Arial" w:hAnsi="Arial" w:cs="Arial"/>
          <w:b/>
          <w:bCs/>
        </w:rPr>
        <w:t>)</w:t>
      </w:r>
    </w:p>
    <w:p w14:paraId="0B05DA81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7A9C49C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Savoir lire une cotation</w:t>
      </w:r>
    </w:p>
    <w:p w14:paraId="58C712A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Identifier les exigences prioritaires du référentiel</w:t>
      </w:r>
    </w:p>
    <w:p w14:paraId="6822CBA8" w14:textId="6167CEA2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1 – L’échelle de cotation des critères</w:t>
      </w:r>
    </w:p>
    <w:p w14:paraId="19EBE11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Niveaux 1 (pas satisfaisant) à 4 (tout à fait satisfaisant), ★ optimisé, NC non concerné</w:t>
      </w:r>
    </w:p>
    <w:p w14:paraId="09263EB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Agrégation par objectif de qualité en 4 classes : A (avancé), B (structuré), C (partiel), D (insuffisant)</w:t>
      </w:r>
    </w:p>
    <w:p w14:paraId="1B41B247" w14:textId="666F024D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2 – Les 18 critères impératifs </w:t>
      </w:r>
    </w:p>
    <w:p w14:paraId="42610A8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Jamais cotés « NC » : toujours évalués</w:t>
      </w:r>
    </w:p>
    <w:p w14:paraId="1FDEF5B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Plan d’action correctif obligatoire si la cotation n’est pas maximale</w:t>
      </w:r>
    </w:p>
    <w:p w14:paraId="4784C77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Exemples : libertés et droits fondamentaux, confidentialité des données, sécurité du circuit du médicament, prévention de la maltraitance, traitement des plaintes, gestion de crise</w:t>
      </w:r>
    </w:p>
    <w:p w14:paraId="4BE60317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lastRenderedPageBreak/>
        <w:t>➡️</w:t>
      </w:r>
      <w:r>
        <w:rPr>
          <w:rFonts w:ascii="Arial" w:eastAsia="Arial" w:hAnsi="Arial" w:cs="Arial"/>
        </w:rPr>
        <w:t xml:space="preserve"> Étude de cas courte : lecture et interprétation d’une cotation en binôme</w:t>
      </w:r>
    </w:p>
    <w:p w14:paraId="52116CC9" w14:textId="4BB841ED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3 – Du rapport unique au plan d’amélioration continue </w:t>
      </w:r>
    </w:p>
    <w:p w14:paraId="01873649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 rapport d’évaluation unique, harmonisé et publié, socle de dialogue avec l’ARS et le conseil départemental</w:t>
      </w:r>
    </w:p>
    <w:p w14:paraId="3B3A4B2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Le PACQ : un outil vivant, suivi et mis à jour, pas un document produit une fois</w:t>
      </w:r>
    </w:p>
    <w:p w14:paraId="46615588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1F1B233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Apport théorique</w:t>
      </w:r>
    </w:p>
    <w:p w14:paraId="6F22C28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Étude de cas</w:t>
      </w:r>
    </w:p>
    <w:p w14:paraId="238DB52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Échanges en binôme</w:t>
      </w:r>
    </w:p>
    <w:p w14:paraId="0E6C23D7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Évaluation module 2 : restitution orale sur un exemple de critère impératif</w:t>
      </w:r>
    </w:p>
    <w:p w14:paraId="65A7B430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7">
          <v:rect id="_x0000_i1031" style="width:0;height:1.5pt" o:hralign="center" o:hrstd="t" o:hr="t" fillcolor="#a0a0a0" stroked="f"/>
        </w:pict>
      </w:r>
    </w:p>
    <w:p w14:paraId="6DB88168" w14:textId="2629E47D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PAUSE (10 min)</w:t>
      </w:r>
    </w:p>
    <w:p w14:paraId="5A49692B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8">
          <v:rect id="_x0000_i1032" style="width:0;height:1.5pt" o:hralign="center" o:hrstd="t" o:hr="t" fillcolor="#a0a0a0" stroked="f"/>
        </w:pict>
      </w:r>
    </w:p>
    <w:p w14:paraId="4D547029" w14:textId="76C607E5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MODULE 3 – La visite d’évaluation : traceurs et posture professionnelle (40 min)</w:t>
      </w:r>
    </w:p>
    <w:p w14:paraId="3B5FB10F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61184FF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Décrire les méthodes de la visite</w:t>
      </w:r>
    </w:p>
    <w:p w14:paraId="7CC05D1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Identifier la posture attendue de chaque fonction</w:t>
      </w:r>
    </w:p>
    <w:p w14:paraId="7AC03B8E" w14:textId="227BB53D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1 – Trois méthodes complémentaires </w:t>
      </w:r>
    </w:p>
    <w:p w14:paraId="3BB9AEB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Accompagnement traceur : suit le parcours d’une personne accompagnée (entretiens, observation, dossier)</w:t>
      </w:r>
    </w:p>
    <w:p w14:paraId="5D6FC31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Traceur ciblé : vérifie la mise en œuvre concrète d’une bonne pratique par les professionnels de terrain (7 par visite)</w:t>
      </w:r>
    </w:p>
    <w:p w14:paraId="239C672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Audit système : évalue l’organisation, la stratégie et la gouvernance de l’ESSMS (8 par visite)</w:t>
      </w:r>
    </w:p>
    <w:p w14:paraId="422E318A" w14:textId="7EE4B15C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2 – Qui est concerné, et comment</w:t>
      </w:r>
    </w:p>
    <w:p w14:paraId="012F43F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Professionnel de terrain : gestes, posture, connaissance des procédures et des droits, traçabilité au quotidien</w:t>
      </w:r>
    </w:p>
    <w:p w14:paraId="0D4F237D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Cadre / chef de service : organisation de l’équipe, pilotage des pratiques, remontée des événements indésirables</w:t>
      </w:r>
    </w:p>
    <w:p w14:paraId="3011343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Équipe qualité : indicateurs, gestion des risques, suivi du PACQ, traçabilité documentaire</w:t>
      </w:r>
    </w:p>
    <w:p w14:paraId="1F0C59F0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Direction : stratégie, gouvernance, allocation des moyens, résultats de la démarche qualité</w:t>
      </w:r>
    </w:p>
    <w:p w14:paraId="37E3205F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3 – Ce que l’évaluateur observe concrètement (5 min / 5 min)</w:t>
      </w:r>
    </w:p>
    <w:p w14:paraId="1F5DA5FB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La cohérence entre ce qui est écrit et ce qui est réellement fait au quotidien</w:t>
      </w:r>
    </w:p>
    <w:p w14:paraId="66B558A9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La connaissance par les professionnels des droits fondamentaux et des conduites à tenir</w:t>
      </w:r>
    </w:p>
    <w:p w14:paraId="56173A5D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La capacité à expliquer une pratique avec ses propres mots, sans réciter un document</w:t>
      </w:r>
    </w:p>
    <w:p w14:paraId="5426DBF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La traçabilité des actions dans le dossier de la personne accompagnée</w:t>
      </w:r>
    </w:p>
    <w:p w14:paraId="71D2BA26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3C3C2EF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Apport théorique</w:t>
      </w:r>
    </w:p>
    <w:p w14:paraId="6BE216E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Tableau fonctions / observations</w:t>
      </w:r>
    </w:p>
    <w:p w14:paraId="5B94F0E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Mise en situation</w:t>
      </w:r>
    </w:p>
    <w:p w14:paraId="7BEAEA9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Débriefing collectif</w:t>
      </w:r>
    </w:p>
    <w:p w14:paraId="7E369BC9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9">
          <v:rect id="_x0000_i1033" style="width:0;height:1.5pt" o:hralign="center" o:hrstd="t" o:hr="t" fillcolor="#a0a0a0" stroked="f"/>
        </w:pict>
      </w:r>
    </w:p>
    <w:p w14:paraId="100374D2" w14:textId="73623BC5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➡️</w:t>
      </w:r>
      <w:r>
        <w:rPr>
          <w:rFonts w:ascii="Arial" w:eastAsia="Arial" w:hAnsi="Arial" w:cs="Arial"/>
          <w:b/>
          <w:bCs/>
        </w:rPr>
        <w:t xml:space="preserve"> MISE EN SITUATION – Simuler un entretien traceur</w:t>
      </w:r>
    </w:p>
    <w:p w14:paraId="6FA5471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Constitution des binômes : un rôle « évaluateur », un ou deux rôles « professionnel(s) »</w:t>
      </w:r>
    </w:p>
    <w:p w14:paraId="32A472E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lastRenderedPageBreak/>
        <w:t>Chaque binôme reçoit une fiche situation sur une thématique du référentiel (ex. accompagnement à la santé, gestion des plaintes)</w:t>
      </w:r>
    </w:p>
    <w:p w14:paraId="69D7E69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Conduite d’un mini-entretien traceur de 5 minutes, puis échange des rôles si le temps le permet</w:t>
      </w:r>
    </w:p>
    <w:p w14:paraId="1AB652A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Débriefing en binôme puis mise en commun collective : ce qui a bien fonctionné, ce qui a été difficile, les réflexes à ancrer</w:t>
      </w:r>
    </w:p>
    <w:p w14:paraId="5F8D86B1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Évaluation module 3 : débriefing collectif de la mise en situation – activité phare de la formation</w:t>
      </w:r>
    </w:p>
    <w:p w14:paraId="53750CB7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Livrable associé : fiches situation pour la mise en situation « entretien traceur »</w:t>
      </w:r>
    </w:p>
    <w:p w14:paraId="4C75AF35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A">
          <v:rect id="_x0000_i1034" style="width:0;height:1.5pt" o:hralign="center" o:hrstd="t" o:hr="t" fillcolor="#a0a0a0" stroked="f"/>
        </w:pict>
      </w:r>
    </w:p>
    <w:p w14:paraId="59CF5F37" w14:textId="1A9BF1B3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MODULE 4 – </w:t>
      </w:r>
      <w:proofErr w:type="spellStart"/>
      <w:r>
        <w:rPr>
          <w:rFonts w:ascii="Arial" w:eastAsia="Arial" w:hAnsi="Arial" w:cs="Arial"/>
          <w:b/>
          <w:bCs/>
        </w:rPr>
        <w:t>Autopositionnement</w:t>
      </w:r>
      <w:proofErr w:type="spellEnd"/>
      <w:r>
        <w:rPr>
          <w:rFonts w:ascii="Arial" w:eastAsia="Arial" w:hAnsi="Arial" w:cs="Arial"/>
          <w:b/>
          <w:bCs/>
        </w:rPr>
        <w:t xml:space="preserve"> : où en sommes-nous, concrètement ? (35 min)</w:t>
      </w:r>
    </w:p>
    <w:p w14:paraId="0384AE74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14255A1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Repérer, dans ses pratiques, les écarts au regard des attendus du référentiel</w:t>
      </w:r>
    </w:p>
    <w:p w14:paraId="77FD851B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1 – La grille d’</w:t>
      </w:r>
      <w:proofErr w:type="spellStart"/>
      <w:r>
        <w:rPr>
          <w:rFonts w:ascii="Arial" w:eastAsia="Arial" w:hAnsi="Arial" w:cs="Arial"/>
          <w:b/>
          <w:bCs/>
        </w:rPr>
        <w:t>autopositionnement</w:t>
      </w:r>
      <w:proofErr w:type="spellEnd"/>
      <w:r>
        <w:rPr>
          <w:rFonts w:ascii="Arial" w:eastAsia="Arial" w:hAnsi="Arial" w:cs="Arial"/>
          <w:b/>
          <w:bCs/>
        </w:rPr>
        <w:t>, mode d’emploi (5 min / 5 min)</w:t>
      </w:r>
    </w:p>
    <w:p w14:paraId="53E866D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Organisation par thématique, à l’image de la grille de cotation officielle</w:t>
      </w:r>
    </w:p>
    <w:p w14:paraId="15BD9CF9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Auto-cotation de 1 à 4 en équipe, avec justification</w:t>
      </w:r>
    </w:p>
    <w:p w14:paraId="263BBAA6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Une colonne dédiée aux preuves disponibles et aux preuves manquantes à sécuriser</w:t>
      </w:r>
    </w:p>
    <w:p w14:paraId="5C744300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 outil réutilisable, remis à chaque participant</w:t>
      </w:r>
    </w:p>
    <w:p w14:paraId="733B48E3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4468304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Travail en sous-groupes</w:t>
      </w:r>
    </w:p>
    <w:p w14:paraId="6C1067A8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Restitution collective</w:t>
      </w:r>
    </w:p>
    <w:p w14:paraId="4C6598C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Reformulation par la formatrice</w:t>
      </w:r>
    </w:p>
    <w:p w14:paraId="70A226B6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B">
          <v:rect id="_x0000_i1035" style="width:0;height:1.5pt" o:hralign="center" o:hrstd="t" o:hr="t" fillcolor="#a0a0a0" stroked="f"/>
        </w:pict>
      </w:r>
    </w:p>
    <w:p w14:paraId="17B404F6" w14:textId="6B9420B0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➡️</w:t>
      </w:r>
      <w:r>
        <w:rPr>
          <w:rFonts w:ascii="Arial" w:eastAsia="Arial" w:hAnsi="Arial" w:cs="Arial"/>
          <w:b/>
          <w:bCs/>
        </w:rPr>
        <w:t xml:space="preserve"> TRAVAIL EN SOUS-GROUPES – Se positionner sur son propre service </w:t>
      </w:r>
    </w:p>
    <w:p w14:paraId="702F1A1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Constitution de sous-groupes mixtes (terrain, encadrement, qualité si possible)</w:t>
      </w:r>
    </w:p>
    <w:p w14:paraId="5A09FF69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Choix de 2 à 3 thématiques prioritaires, dont au moins une comportant un critère impératif</w:t>
      </w:r>
    </w:p>
    <w:p w14:paraId="4C984B9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Pour chaque thématique : 1 point fort à valoriser, 1 point de vigilance, 1 preuve à sécuriser</w:t>
      </w:r>
    </w:p>
    <w:p w14:paraId="0997CD26" w14:textId="031E488D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2 – Restitution des sous-groupes</w:t>
      </w:r>
    </w:p>
    <w:p w14:paraId="1FA5EB9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Deux minutes par sous-groupe : un point fort, un point de vigilance, une preuve à sécuriser</w:t>
      </w:r>
    </w:p>
    <w:p w14:paraId="3B4CEAC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Reformulation par la formatrice, qui relie chaque restitution à un chapitre ou une thématique du référentiel</w:t>
      </w:r>
    </w:p>
    <w:p w14:paraId="10D8DBF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Les points de vigilance communs à plusieurs sous-groupes annoncent souvent les priorités collectives de l’établissement</w:t>
      </w:r>
    </w:p>
    <w:p w14:paraId="6A7A9719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Livrable associé : grille d’</w:t>
      </w:r>
      <w:proofErr w:type="spellStart"/>
      <w:r>
        <w:rPr>
          <w:rFonts w:ascii="Arial" w:eastAsia="Arial" w:hAnsi="Arial" w:cs="Arial"/>
        </w:rPr>
        <w:t>autopositionnement</w:t>
      </w:r>
      <w:proofErr w:type="spellEnd"/>
      <w:r>
        <w:rPr>
          <w:rFonts w:ascii="Arial" w:eastAsia="Arial" w:hAnsi="Arial" w:cs="Arial"/>
        </w:rPr>
        <w:t xml:space="preserve"> par thématique</w:t>
      </w:r>
    </w:p>
    <w:p w14:paraId="7C037F28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C">
          <v:rect id="_x0000_i1036" style="width:0;height:1.5pt" o:hralign="center" o:hrstd="t" o:hr="t" fillcolor="#a0a0a0" stroked="f"/>
        </w:pict>
      </w:r>
    </w:p>
    <w:p w14:paraId="2D322302" w14:textId="1B2292AA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MODULE 5 – Du diagnostic au plan de mise en conformité (</w:t>
      </w:r>
      <w:r w:rsidR="000F6DFE">
        <w:rPr>
          <w:rFonts w:ascii="Arial" w:eastAsia="Arial" w:hAnsi="Arial" w:cs="Arial"/>
          <w:b/>
          <w:bCs/>
        </w:rPr>
        <w:t>30</w:t>
      </w:r>
      <w:r>
        <w:rPr>
          <w:rFonts w:ascii="Arial" w:eastAsia="Arial" w:hAnsi="Arial" w:cs="Arial"/>
          <w:b/>
          <w:bCs/>
        </w:rPr>
        <w:t xml:space="preserve"> min)</w:t>
      </w:r>
    </w:p>
    <w:p w14:paraId="7775D8C4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7F09DD9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Formuler des actions de mise en conformité priorisées et engageables</w:t>
      </w:r>
    </w:p>
    <w:p w14:paraId="388817DF" w14:textId="186149F8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1 – Prioriser ses actions : la matrice impact / urgence </w:t>
      </w:r>
    </w:p>
    <w:p w14:paraId="58088A4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Urgence élevée + impact élevé : traiter en premier – critères impératifs non atteints</w:t>
      </w:r>
    </w:p>
    <w:p w14:paraId="5AAD651D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Urgence faible + impact élevé : planifier dans le PACQ, avec un pilote et une échéance</w:t>
      </w:r>
    </w:p>
    <w:p w14:paraId="490CE08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Urgence élevée + impact faible : traiter rapidement – ajustements de procédure ou de traçabilité</w:t>
      </w:r>
    </w:p>
    <w:p w14:paraId="0E0E7077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Urgence faible + impact faible : conserver en veille, réévaluer à la prochaine auto-évaluation</w:t>
      </w:r>
    </w:p>
    <w:p w14:paraId="5AFD3B67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lastRenderedPageBreak/>
        <w:t>📌</w:t>
      </w:r>
      <w:r>
        <w:rPr>
          <w:rFonts w:ascii="Arial" w:eastAsia="Arial" w:hAnsi="Arial" w:cs="Arial"/>
        </w:rPr>
        <w:t xml:space="preserve"> Cette matrice s’applique aux constats de l’</w:t>
      </w:r>
      <w:proofErr w:type="spellStart"/>
      <w:r>
        <w:rPr>
          <w:rFonts w:ascii="Arial" w:eastAsia="Arial" w:hAnsi="Arial" w:cs="Arial"/>
        </w:rPr>
        <w:t>autopositionnement</w:t>
      </w:r>
      <w:proofErr w:type="spellEnd"/>
      <w:r>
        <w:rPr>
          <w:rFonts w:ascii="Arial" w:eastAsia="Arial" w:hAnsi="Arial" w:cs="Arial"/>
        </w:rPr>
        <w:t xml:space="preserve"> (module 4) comme à ceux d’une évaluation externe déjà réalisée</w:t>
      </w:r>
    </w:p>
    <w:p w14:paraId="3FDCC4C5" w14:textId="675F6A23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Séquence 2 – Le modèle de fiche action </w:t>
      </w:r>
    </w:p>
    <w:p w14:paraId="1375980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Colonnes : constat, action, pilote, échéance, preuve attendue</w:t>
      </w:r>
    </w:p>
    <w:p w14:paraId="21570670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Exemple : traçabilité incomplète du circuit du médicament → réviser la procédure et former les équipes → cadre de santé → 3 mois → procédure signée + registre de formation</w:t>
      </w:r>
    </w:p>
    <w:p w14:paraId="229EB6C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 modèle directement réutilisable pour alimenter le PACQ de l’établissement</w:t>
      </w:r>
    </w:p>
    <w:p w14:paraId="3DD5C934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4D94A77B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Apport théorique</w:t>
      </w:r>
    </w:p>
    <w:p w14:paraId="5AEA007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Remplissage individuel du modèle de fiche action</w:t>
      </w:r>
    </w:p>
    <w:p w14:paraId="5E2176FA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D">
          <v:rect id="_x0000_i1037" style="width:0;height:1.5pt" o:hralign="center" o:hrstd="t" o:hr="t" fillcolor="#a0a0a0" stroked="f"/>
        </w:pict>
      </w:r>
    </w:p>
    <w:p w14:paraId="44DE3E2B" w14:textId="52779FA6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➡️</w:t>
      </w:r>
      <w:r>
        <w:rPr>
          <w:rFonts w:ascii="Arial" w:eastAsia="Arial" w:hAnsi="Arial" w:cs="Arial"/>
          <w:b/>
          <w:bCs/>
        </w:rPr>
        <w:t xml:space="preserve"> ENGAGEMENT INDIVIDUEL – Mon engagement pour les 30 prochains jours </w:t>
      </w:r>
    </w:p>
    <w:p w14:paraId="1D03E04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Note individuelle : chaque participant note, seul et par écrit, une action concrète qu’il engage dans les 30 jours</w:t>
      </w:r>
    </w:p>
    <w:p w14:paraId="38C093E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Formulation précise : l’action est réaliste, formulée avec un verbe d’action et une échéance</w:t>
      </w:r>
    </w:p>
    <w:p w14:paraId="4EF806DF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Partage volontaire : ceux qui le souhaitent partagent leur engagement à voix haute</w:t>
      </w:r>
    </w:p>
    <w:p w14:paraId="1C2C8B0E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Livrables associés : matrice de priorisation impact / urgence, modèle de fiche action</w:t>
      </w:r>
    </w:p>
    <w:p w14:paraId="73DF5D18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E">
          <v:rect id="_x0000_i1038" style="width:0;height:1.5pt" o:hralign="center" o:hrstd="t" o:hr="t" fillcolor="#a0a0a0" stroked="f"/>
        </w:pict>
      </w:r>
    </w:p>
    <w:p w14:paraId="5B0346B9" w14:textId="4E917E29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🟦</w:t>
      </w:r>
      <w:r>
        <w:rPr>
          <w:rFonts w:ascii="Arial" w:eastAsia="Arial" w:hAnsi="Arial" w:cs="Arial"/>
          <w:b/>
          <w:bCs/>
        </w:rPr>
        <w:t xml:space="preserve"> CLÔTURE – SYNTHÈSE ET ÉVALUATIONS (1</w:t>
      </w:r>
      <w:r w:rsidR="000F6DFE">
        <w:rPr>
          <w:rFonts w:ascii="Arial" w:eastAsia="Arial" w:hAnsi="Arial" w:cs="Arial"/>
          <w:b/>
          <w:bCs/>
        </w:rPr>
        <w:t>5</w:t>
      </w:r>
      <w:r>
        <w:rPr>
          <w:rFonts w:ascii="Arial" w:eastAsia="Arial" w:hAnsi="Arial" w:cs="Arial"/>
          <w:b/>
          <w:bCs/>
        </w:rPr>
        <w:t xml:space="preserve"> min)</w:t>
      </w:r>
    </w:p>
    <w:p w14:paraId="27BCFB5A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🎯</w:t>
      </w:r>
      <w:r>
        <w:rPr>
          <w:rFonts w:ascii="Arial" w:eastAsia="Arial" w:hAnsi="Arial" w:cs="Arial"/>
          <w:b/>
          <w:bCs/>
        </w:rPr>
        <w:t xml:space="preserve"> Objectifs</w:t>
      </w:r>
    </w:p>
    <w:p w14:paraId="180384DD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Consolider les acquis</w:t>
      </w:r>
    </w:p>
    <w:p w14:paraId="5A0CCB9B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Recueillir les retours des participants</w:t>
      </w:r>
    </w:p>
    <w:p w14:paraId="37EBD16D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🧩</w:t>
      </w:r>
      <w:r>
        <w:rPr>
          <w:rFonts w:ascii="Arial" w:eastAsia="Arial" w:hAnsi="Arial" w:cs="Arial"/>
          <w:b/>
          <w:bCs/>
        </w:rPr>
        <w:t xml:space="preserve"> Les 5 messages clés à retenir</w:t>
      </w:r>
    </w:p>
    <w:p w14:paraId="6CCE0D73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 référentiel unique et structuré : 3 chapitres, 9 thématiques, 157 critères</w:t>
      </w:r>
    </w:p>
    <w:p w14:paraId="37E6E03A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Les 18 critères impératifs : jamais « non concerné », toujours un plan d’action si la cotation n’est pas maximale</w:t>
      </w:r>
    </w:p>
    <w:p w14:paraId="2F34D6D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Trois méthodes de visite : accompagnement traceur, traceur ciblé, audit système – toutes les fonctions sont concernées</w:t>
      </w:r>
    </w:p>
    <w:p w14:paraId="192260FA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La cohérence entre le dire et le faire, plus que la récitation d’un document</w:t>
      </w:r>
    </w:p>
    <w:p w14:paraId="56EF281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Un pilotage continu via le PACQ, pas seulement à l’approche de la visite</w:t>
      </w:r>
    </w:p>
    <w:p w14:paraId="2FE2E3D0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Évaluation des acquis à chaud : questionnaire court (5 à 8 questions reprenant les 5 objectifs pédagogiques), rempli individuellement en fin de session</w:t>
      </w:r>
    </w:p>
    <w:p w14:paraId="2E4A5F08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</w:rPr>
        <w:t>📌</w:t>
      </w:r>
      <w:r>
        <w:rPr>
          <w:rFonts w:ascii="Arial" w:eastAsia="Arial" w:hAnsi="Arial" w:cs="Arial"/>
        </w:rPr>
        <w:t xml:space="preserve"> Satisfaction et traçabilité : questionnaire de satisfaction anonyme + feuille d’émargement à signer par demi-journée</w:t>
      </w:r>
    </w:p>
    <w:p w14:paraId="762C7FC8" w14:textId="77777777" w:rsidR="007328ED" w:rsidRDefault="009E467E">
      <w:pPr>
        <w:spacing w:after="0"/>
        <w:ind w:left="720" w:right="-265"/>
      </w:pPr>
      <w:r>
        <w:rPr>
          <w:rFonts w:ascii="Segoe UI Emoji" w:eastAsia="Arial" w:hAnsi="Segoe UI Emoji" w:cs="Segoe UI Emoji"/>
          <w:b/>
          <w:bCs/>
        </w:rPr>
        <w:t>🛠</w:t>
      </w:r>
      <w:r>
        <w:rPr>
          <w:rFonts w:ascii="Arial" w:eastAsia="Arial" w:hAnsi="Arial" w:cs="Arial"/>
          <w:b/>
          <w:bCs/>
        </w:rPr>
        <w:t xml:space="preserve"> Méthode</w:t>
      </w:r>
    </w:p>
    <w:p w14:paraId="242F1F9B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Synthèse orale</w:t>
      </w:r>
    </w:p>
    <w:p w14:paraId="3EDC5234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Questionnaire individuel</w:t>
      </w:r>
    </w:p>
    <w:p w14:paraId="254A6704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DF">
          <v:rect id="_x0000_i1039" style="width:0;height:1.5pt" o:hralign="center" o:hrstd="t" o:hr="t" fillcolor="#a0a0a0" stroked="f"/>
        </w:pict>
      </w:r>
    </w:p>
    <w:p w14:paraId="325EBAED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  <w:color w:val="4C94D8" w:themeColor="text2" w:themeTint="80"/>
        </w:rPr>
        <w:t>4. DISPOSITIF</w:t>
      </w:r>
    </w:p>
    <w:p w14:paraId="7735F1F5" w14:textId="77777777" w:rsidR="007328ED" w:rsidRDefault="009E467E">
      <w:pPr>
        <w:spacing w:after="0"/>
        <w:ind w:left="720" w:right="-265"/>
      </w:pP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objectifs pédagogiques et opérationnels définis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adaptation à deux formats (3h et 2h30) sans perte du contenu référentiel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alternance pédagogique (apports théoriques, étude de cas, mise en situation, travail en sous-groupes)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évaluation continue (quiz, restitutions, débriefings)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lastRenderedPageBreak/>
        <w:t>✔</w:t>
      </w:r>
      <w:r>
        <w:rPr>
          <w:rFonts w:ascii="Arial" w:eastAsia="Arial" w:hAnsi="Arial" w:cs="Arial"/>
        </w:rPr>
        <w:t xml:space="preserve"> évaluation des acquis à chaud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traçabilité de l’assiduité (feuille d’émargement)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mise en situation professionnelle (entretien traceur)</w:t>
      </w:r>
      <w:r>
        <w:rPr>
          <w:rFonts w:ascii="Arial" w:eastAsia="Arial" w:hAnsi="Arial" w:cs="Arial"/>
        </w:rPr>
        <w:br/>
      </w:r>
      <w:r>
        <w:rPr>
          <w:rFonts w:ascii="Segoe UI Symbol" w:eastAsia="Arial" w:hAnsi="Segoe UI Symbol" w:cs="Segoe UI Symbol"/>
        </w:rPr>
        <w:t>✔</w:t>
      </w:r>
      <w:r>
        <w:rPr>
          <w:rFonts w:ascii="Arial" w:eastAsia="Arial" w:hAnsi="Arial" w:cs="Arial"/>
        </w:rPr>
        <w:t xml:space="preserve"> mobilisation de l’expérience de terrain des participants</w:t>
      </w:r>
    </w:p>
    <w:p w14:paraId="6B90385D" w14:textId="77777777" w:rsidR="007328ED" w:rsidRDefault="00301A6B">
      <w:pPr>
        <w:spacing w:after="0"/>
        <w:ind w:left="720" w:right="-26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pict w14:anchorId="000007E0">
          <v:rect id="_x0000_i1040" style="width:0;height:1.5pt" o:hralign="center" o:hrstd="t" o:hr="t" fillcolor="#a0a0a0" stroked="f"/>
        </w:pict>
      </w:r>
    </w:p>
    <w:p w14:paraId="16CF4B70" w14:textId="77777777" w:rsidR="007328ED" w:rsidRDefault="009E467E">
      <w:pPr>
        <w:spacing w:after="0"/>
        <w:ind w:left="720" w:right="-265"/>
      </w:pPr>
      <w:r>
        <w:rPr>
          <w:rFonts w:ascii="Arial" w:eastAsia="Arial" w:hAnsi="Arial" w:cs="Arial"/>
          <w:b/>
          <w:bCs/>
          <w:color w:val="4C94D8" w:themeColor="text2" w:themeTint="80"/>
        </w:rPr>
        <w:t>5. LIVRABLES FORMATION</w:t>
      </w:r>
    </w:p>
    <w:p w14:paraId="298DC0B6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Support d’animation de la formation</w:t>
      </w:r>
    </w:p>
    <w:p w14:paraId="3E26C25C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Grille d’</w:t>
      </w:r>
      <w:proofErr w:type="spellStart"/>
      <w:r>
        <w:rPr>
          <w:rFonts w:ascii="Arial" w:eastAsia="Arial" w:hAnsi="Arial" w:cs="Arial"/>
        </w:rPr>
        <w:t>autopositionnement</w:t>
      </w:r>
      <w:proofErr w:type="spellEnd"/>
      <w:r>
        <w:rPr>
          <w:rFonts w:ascii="Arial" w:eastAsia="Arial" w:hAnsi="Arial" w:cs="Arial"/>
        </w:rPr>
        <w:t xml:space="preserve"> par thématique</w:t>
      </w:r>
    </w:p>
    <w:p w14:paraId="6FFB1EC2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Fiches situation pour la mise en situation « entretien traceur »</w:t>
      </w:r>
    </w:p>
    <w:p w14:paraId="0FD7E26E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Modèle de fiche action (constat / action / pilote / échéance / preuve attendue)</w:t>
      </w:r>
    </w:p>
    <w:p w14:paraId="68164371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Questionnaire d’évaluation des acquis à chaud</w:t>
      </w:r>
    </w:p>
    <w:p w14:paraId="392629B5" w14:textId="77777777" w:rsidR="007328ED" w:rsidRDefault="009E467E">
      <w:pPr>
        <w:numPr>
          <w:ilvl w:val="0"/>
          <w:numId w:val="1"/>
        </w:numPr>
        <w:spacing w:after="0"/>
        <w:ind w:right="-265"/>
      </w:pPr>
      <w:r>
        <w:rPr>
          <w:rFonts w:ascii="Arial" w:eastAsia="Arial" w:hAnsi="Arial" w:cs="Arial"/>
        </w:rPr>
        <w:t>Questionnaire de satisfaction</w:t>
      </w:r>
    </w:p>
    <w:sectPr w:rsidR="007328ED">
      <w:headerReference w:type="default" r:id="rId7"/>
      <w:pgSz w:w="11906" w:h="16838"/>
      <w:pgMar w:top="709" w:right="1422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D2811" w14:textId="77777777" w:rsidR="00301A6B" w:rsidRDefault="00301A6B" w:rsidP="00D43B5D">
      <w:pPr>
        <w:spacing w:after="0" w:line="240" w:lineRule="auto"/>
      </w:pPr>
      <w:r>
        <w:separator/>
      </w:r>
    </w:p>
  </w:endnote>
  <w:endnote w:type="continuationSeparator" w:id="0">
    <w:p w14:paraId="083CF4F9" w14:textId="77777777" w:rsidR="00301A6B" w:rsidRDefault="00301A6B" w:rsidP="00D43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D4310" w14:textId="77777777" w:rsidR="00301A6B" w:rsidRDefault="00301A6B" w:rsidP="00D43B5D">
      <w:pPr>
        <w:spacing w:after="0" w:line="240" w:lineRule="auto"/>
      </w:pPr>
      <w:r>
        <w:separator/>
      </w:r>
    </w:p>
  </w:footnote>
  <w:footnote w:type="continuationSeparator" w:id="0">
    <w:p w14:paraId="4DD228B4" w14:textId="77777777" w:rsidR="00301A6B" w:rsidRDefault="00301A6B" w:rsidP="00D43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8C10C" w14:textId="77777777" w:rsidR="00D43B5D" w:rsidRDefault="00D43B5D" w:rsidP="006C1415">
    <w:pPr>
      <w:pStyle w:val="En-tte"/>
      <w:tabs>
        <w:tab w:val="left" w:pos="3435"/>
      </w:tabs>
    </w:pPr>
    <w:r>
      <w:rPr>
        <w:noProof/>
      </w:rPr>
      <w:drawing>
        <wp:inline distT="0" distB="0" distL="0" distR="0" wp14:anchorId="4647B701" wp14:editId="0000AED6">
          <wp:extent cx="914400" cy="445135"/>
          <wp:effectExtent l="0" t="0" r="0" b="0"/>
          <wp:docPr id="49128818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6C1415">
      <w:rPr>
        <w:noProof/>
      </w:rPr>
      <w:drawing>
        <wp:inline distT="0" distB="0" distL="0" distR="0" wp14:anchorId="5BE3D3DF" wp14:editId="25778C3D">
          <wp:extent cx="1475105" cy="463550"/>
          <wp:effectExtent l="0" t="0" r="0" b="0"/>
          <wp:docPr id="18111013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92405">
      <w:t xml:space="preserve">                          </w:t>
    </w:r>
    <w:r w:rsidR="00492405">
      <w:rPr>
        <w:noProof/>
      </w:rPr>
      <w:drawing>
        <wp:inline distT="0" distB="0" distL="0" distR="0" wp14:anchorId="4BC1EBE9" wp14:editId="700CBF3A">
          <wp:extent cx="1495425" cy="888082"/>
          <wp:effectExtent l="0" t="0" r="0" b="7620"/>
          <wp:docPr id="352017707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566" cy="8905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C1415">
      <w:tab/>
    </w:r>
    <w:r>
      <w:t xml:space="preserve">                                                                                                                    </w:t>
    </w:r>
  </w:p>
  <w:p w14:paraId="4192C812" w14:textId="77777777" w:rsidR="00D43B5D" w:rsidRDefault="00D43B5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4B01"/>
    <w:multiLevelType w:val="multilevel"/>
    <w:tmpl w:val="4398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76343"/>
    <w:multiLevelType w:val="multilevel"/>
    <w:tmpl w:val="97B43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F468B"/>
    <w:multiLevelType w:val="multilevel"/>
    <w:tmpl w:val="2DD4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2143A"/>
    <w:multiLevelType w:val="multilevel"/>
    <w:tmpl w:val="2D08E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343F3"/>
    <w:multiLevelType w:val="multilevel"/>
    <w:tmpl w:val="EE92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245CB"/>
    <w:multiLevelType w:val="multilevel"/>
    <w:tmpl w:val="8570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805235"/>
    <w:multiLevelType w:val="multilevel"/>
    <w:tmpl w:val="F8DEF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804B85"/>
    <w:multiLevelType w:val="multilevel"/>
    <w:tmpl w:val="D274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2761"/>
    <w:multiLevelType w:val="multilevel"/>
    <w:tmpl w:val="C55C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8A7C71"/>
    <w:multiLevelType w:val="multilevel"/>
    <w:tmpl w:val="BF46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197116"/>
    <w:multiLevelType w:val="multilevel"/>
    <w:tmpl w:val="70F02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E751A1"/>
    <w:multiLevelType w:val="multilevel"/>
    <w:tmpl w:val="CDBE8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F74124"/>
    <w:multiLevelType w:val="multilevel"/>
    <w:tmpl w:val="72B4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5C2BAA"/>
    <w:multiLevelType w:val="multilevel"/>
    <w:tmpl w:val="8910D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B630A3"/>
    <w:multiLevelType w:val="multilevel"/>
    <w:tmpl w:val="4B60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CC7702"/>
    <w:multiLevelType w:val="multilevel"/>
    <w:tmpl w:val="CF928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4E458B"/>
    <w:multiLevelType w:val="multilevel"/>
    <w:tmpl w:val="2F400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8821B2"/>
    <w:multiLevelType w:val="multilevel"/>
    <w:tmpl w:val="BB1E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DE1F05"/>
    <w:multiLevelType w:val="multilevel"/>
    <w:tmpl w:val="718C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E16538"/>
    <w:multiLevelType w:val="multilevel"/>
    <w:tmpl w:val="C13E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8546ED"/>
    <w:multiLevelType w:val="multilevel"/>
    <w:tmpl w:val="49604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234142"/>
    <w:multiLevelType w:val="multilevel"/>
    <w:tmpl w:val="9FF8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4270CD"/>
    <w:multiLevelType w:val="multilevel"/>
    <w:tmpl w:val="5DE6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E4104E"/>
    <w:multiLevelType w:val="multilevel"/>
    <w:tmpl w:val="64F4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355AD1"/>
    <w:multiLevelType w:val="multilevel"/>
    <w:tmpl w:val="A02C6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914AAC"/>
    <w:multiLevelType w:val="multilevel"/>
    <w:tmpl w:val="ED3E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817A87"/>
    <w:multiLevelType w:val="multilevel"/>
    <w:tmpl w:val="B04A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AD47E0"/>
    <w:multiLevelType w:val="multilevel"/>
    <w:tmpl w:val="566C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7965806">
    <w:abstractNumId w:val="4"/>
  </w:num>
  <w:num w:numId="2" w16cid:durableId="143015416">
    <w:abstractNumId w:val="25"/>
  </w:num>
  <w:num w:numId="3" w16cid:durableId="533035442">
    <w:abstractNumId w:val="3"/>
  </w:num>
  <w:num w:numId="4" w16cid:durableId="926427539">
    <w:abstractNumId w:val="0"/>
  </w:num>
  <w:num w:numId="5" w16cid:durableId="288052818">
    <w:abstractNumId w:val="16"/>
  </w:num>
  <w:num w:numId="6" w16cid:durableId="1164786248">
    <w:abstractNumId w:val="22"/>
  </w:num>
  <w:num w:numId="7" w16cid:durableId="1510607254">
    <w:abstractNumId w:val="9"/>
  </w:num>
  <w:num w:numId="8" w16cid:durableId="1344817242">
    <w:abstractNumId w:val="27"/>
  </w:num>
  <w:num w:numId="9" w16cid:durableId="1387292752">
    <w:abstractNumId w:val="23"/>
  </w:num>
  <w:num w:numId="10" w16cid:durableId="1552689749">
    <w:abstractNumId w:val="1"/>
  </w:num>
  <w:num w:numId="11" w16cid:durableId="385642151">
    <w:abstractNumId w:val="13"/>
  </w:num>
  <w:num w:numId="12" w16cid:durableId="1130320336">
    <w:abstractNumId w:val="15"/>
  </w:num>
  <w:num w:numId="13" w16cid:durableId="1218661560">
    <w:abstractNumId w:val="20"/>
  </w:num>
  <w:num w:numId="14" w16cid:durableId="2086609019">
    <w:abstractNumId w:val="24"/>
  </w:num>
  <w:num w:numId="15" w16cid:durableId="103619113">
    <w:abstractNumId w:val="18"/>
  </w:num>
  <w:num w:numId="16" w16cid:durableId="756292673">
    <w:abstractNumId w:val="14"/>
  </w:num>
  <w:num w:numId="17" w16cid:durableId="203636957">
    <w:abstractNumId w:val="5"/>
  </w:num>
  <w:num w:numId="18" w16cid:durableId="987514183">
    <w:abstractNumId w:val="11"/>
  </w:num>
  <w:num w:numId="19" w16cid:durableId="1006253123">
    <w:abstractNumId w:val="26"/>
  </w:num>
  <w:num w:numId="20" w16cid:durableId="1243023380">
    <w:abstractNumId w:val="8"/>
  </w:num>
  <w:num w:numId="21" w16cid:durableId="2078940282">
    <w:abstractNumId w:val="2"/>
  </w:num>
  <w:num w:numId="22" w16cid:durableId="640427722">
    <w:abstractNumId w:val="6"/>
  </w:num>
  <w:num w:numId="23" w16cid:durableId="1855994835">
    <w:abstractNumId w:val="21"/>
  </w:num>
  <w:num w:numId="24" w16cid:durableId="43145840">
    <w:abstractNumId w:val="17"/>
  </w:num>
  <w:num w:numId="25" w16cid:durableId="1396929177">
    <w:abstractNumId w:val="19"/>
  </w:num>
  <w:num w:numId="26" w16cid:durableId="130710260">
    <w:abstractNumId w:val="12"/>
  </w:num>
  <w:num w:numId="27" w16cid:durableId="571812353">
    <w:abstractNumId w:val="7"/>
  </w:num>
  <w:num w:numId="28" w16cid:durableId="746346815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1AE"/>
    <w:rsid w:val="000054A2"/>
    <w:rsid w:val="000A24E7"/>
    <w:rsid w:val="000B31AE"/>
    <w:rsid w:val="000F6DFE"/>
    <w:rsid w:val="0017299E"/>
    <w:rsid w:val="0026242A"/>
    <w:rsid w:val="00272AAC"/>
    <w:rsid w:val="00301A6B"/>
    <w:rsid w:val="00355C32"/>
    <w:rsid w:val="00384FF7"/>
    <w:rsid w:val="003E436C"/>
    <w:rsid w:val="004911CD"/>
    <w:rsid w:val="00492405"/>
    <w:rsid w:val="005165DB"/>
    <w:rsid w:val="00684FBD"/>
    <w:rsid w:val="006C1415"/>
    <w:rsid w:val="007328ED"/>
    <w:rsid w:val="0085160D"/>
    <w:rsid w:val="008632FE"/>
    <w:rsid w:val="008B2B0C"/>
    <w:rsid w:val="008D7CA9"/>
    <w:rsid w:val="00927DA9"/>
    <w:rsid w:val="00961595"/>
    <w:rsid w:val="00975418"/>
    <w:rsid w:val="009E467E"/>
    <w:rsid w:val="00A7340C"/>
    <w:rsid w:val="00A96103"/>
    <w:rsid w:val="00B9088E"/>
    <w:rsid w:val="00BF598F"/>
    <w:rsid w:val="00C44E2B"/>
    <w:rsid w:val="00C53200"/>
    <w:rsid w:val="00CA4CE5"/>
    <w:rsid w:val="00CC17B5"/>
    <w:rsid w:val="00D43B5D"/>
    <w:rsid w:val="00E12C25"/>
    <w:rsid w:val="00F24A8A"/>
    <w:rsid w:val="00F424B1"/>
    <w:rsid w:val="00F520CE"/>
    <w:rsid w:val="00F9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55245"/>
  <w15:docId w15:val="{06991358-B375-45A7-9412-7C25D8AE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E12C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24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24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D43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3B5D"/>
    <w:rPr>
      <w:rFonts w:ascii="Calibri" w:eastAsia="Calibri" w:hAnsi="Calibri" w:cs="Calibri"/>
      <w:color w:val="000000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D43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3B5D"/>
    <w:rPr>
      <w:rFonts w:ascii="Calibri" w:eastAsia="Calibri" w:hAnsi="Calibri" w:cs="Calibri"/>
      <w:color w:val="000000"/>
      <w:sz w:val="22"/>
    </w:rPr>
  </w:style>
  <w:style w:type="character" w:customStyle="1" w:styleId="Titre1Car">
    <w:name w:val="Titre 1 Car"/>
    <w:basedOn w:val="Policepardfaut"/>
    <w:link w:val="Titre1"/>
    <w:uiPriority w:val="9"/>
    <w:rsid w:val="00E12C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F424B1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424B1"/>
    <w:rPr>
      <w:rFonts w:asciiTheme="majorHAnsi" w:eastAsiaTheme="majorEastAsia" w:hAnsiTheme="majorHAnsi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1772</Words>
  <Characters>9748</Characters>
  <Application>Microsoft Office Word</Application>
  <DocSecurity>0</DocSecurity>
  <Lines>81</Lines>
  <Paragraphs>22</Paragraphs>
  <ScaleCrop>false</ScaleCrop>
  <Company/>
  <LinksUpToDate>false</LinksUpToDate>
  <CharactersWithSpaces>11498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 d’appui au projet d’entreprise pour la création ou la reprise d’une activité économique</dc:title>
  <dc:subject/>
  <dc:creator>Nadia Sassi</dc:creator>
  <cp:keywords/>
  <cp:lastModifiedBy>Jean-Marc LEZCANO</cp:lastModifiedBy>
  <cp:revision>4</cp:revision>
  <dcterms:created xsi:type="dcterms:W3CDTF">2026-10-09T09:34:00Z</dcterms:created>
  <dcterms:modified xsi:type="dcterms:W3CDTF">2026-10-09T09:50:00Z</dcterms:modified>
</cp:coreProperties>
</file>